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FEB21" w14:textId="77777777" w:rsidR="002741AE" w:rsidRPr="002741AE" w:rsidRDefault="002741AE" w:rsidP="002741AE">
      <w:pPr>
        <w:spacing w:before="240"/>
        <w:rPr>
          <w:rFonts w:ascii="Arial" w:hAnsi="Arial" w:cs="Calibri"/>
          <w:b/>
          <w:bCs/>
          <w:i/>
          <w:iCs/>
          <w:sz w:val="20"/>
          <w:szCs w:val="20"/>
        </w:rPr>
      </w:pPr>
      <w:r w:rsidRPr="002741AE">
        <w:rPr>
          <w:rFonts w:ascii="Arial" w:hAnsi="Arial" w:cs="Calibri"/>
          <w:b/>
          <w:bCs/>
          <w:i/>
          <w:iCs/>
          <w:sz w:val="20"/>
          <w:szCs w:val="20"/>
        </w:rPr>
        <w:t>Update/Notice regarding California COVID-19 Laws:</w:t>
      </w:r>
    </w:p>
    <w:p w14:paraId="548C0EBA" w14:textId="77777777" w:rsidR="002741AE" w:rsidRPr="002741AE" w:rsidRDefault="002741AE" w:rsidP="002741AE">
      <w:pPr>
        <w:spacing w:before="240"/>
        <w:rPr>
          <w:rFonts w:ascii="Arial" w:hAnsi="Arial" w:cs="Calibri"/>
          <w:b/>
          <w:bCs/>
          <w:sz w:val="20"/>
          <w:szCs w:val="20"/>
        </w:rPr>
      </w:pPr>
      <w:r w:rsidRPr="002741AE">
        <w:rPr>
          <w:rFonts w:ascii="Arial" w:hAnsi="Arial" w:cs="Calibri"/>
          <w:b/>
          <w:bCs/>
          <w:i/>
          <w:iCs/>
          <w:sz w:val="20"/>
          <w:szCs w:val="20"/>
        </w:rPr>
        <w:t>You may be aware that the California legislation referred to as “AB 1751” is now law, amending Labor Code Sections 3212.86; 3212.87, and 3212.88.</w:t>
      </w:r>
    </w:p>
    <w:p w14:paraId="1C1DE930" w14:textId="77777777" w:rsidR="002741AE" w:rsidRPr="002741AE" w:rsidRDefault="002741AE" w:rsidP="002741AE">
      <w:pPr>
        <w:spacing w:before="240"/>
        <w:rPr>
          <w:rFonts w:ascii="Arial" w:hAnsi="Arial" w:cs="Calibri"/>
          <w:i/>
          <w:iCs/>
          <w:sz w:val="20"/>
          <w:szCs w:val="20"/>
        </w:rPr>
      </w:pPr>
      <w:r w:rsidRPr="002741AE">
        <w:rPr>
          <w:rFonts w:ascii="Arial" w:hAnsi="Arial" w:cs="Calibri"/>
          <w:i/>
          <w:iCs/>
          <w:sz w:val="20"/>
          <w:szCs w:val="20"/>
        </w:rPr>
        <w:t xml:space="preserve">Importantly, this legislation extends by an </w:t>
      </w:r>
      <w:r w:rsidRPr="002741AE">
        <w:rPr>
          <w:rFonts w:ascii="Arial" w:hAnsi="Arial" w:cs="Calibri"/>
          <w:i/>
          <w:iCs/>
          <w:sz w:val="20"/>
          <w:szCs w:val="20"/>
          <w:u w:val="single"/>
        </w:rPr>
        <w:t>additional year, until January 1, 2024,</w:t>
      </w:r>
      <w:r w:rsidRPr="002741AE">
        <w:rPr>
          <w:rFonts w:ascii="Arial" w:hAnsi="Arial" w:cs="Calibri"/>
          <w:i/>
          <w:iCs/>
          <w:sz w:val="20"/>
          <w:szCs w:val="20"/>
        </w:rPr>
        <w:t xml:space="preserve"> the provisions of certain COVID-19 related Labor Code sections. Reporting of all known positive COVID tests needs to continue to your WC claim administrator as you have since the original law passed. </w:t>
      </w:r>
    </w:p>
    <w:p w14:paraId="42879454" w14:textId="77777777" w:rsidR="002741AE" w:rsidRPr="002741AE" w:rsidRDefault="002741AE" w:rsidP="002741AE">
      <w:pPr>
        <w:spacing w:before="240"/>
        <w:rPr>
          <w:rFonts w:ascii="Arial" w:hAnsi="Arial" w:cs="Calibri"/>
          <w:i/>
          <w:iCs/>
          <w:sz w:val="20"/>
          <w:szCs w:val="20"/>
        </w:rPr>
      </w:pPr>
      <w:r w:rsidRPr="002741AE">
        <w:rPr>
          <w:rFonts w:ascii="Arial" w:hAnsi="Arial" w:cs="Calibri"/>
          <w:i/>
          <w:iCs/>
          <w:sz w:val="20"/>
          <w:szCs w:val="20"/>
        </w:rPr>
        <w:t xml:space="preserve">Reminder: when an employer knows (or reasonably should know) an employee has tested positive, it needs to be reported within 3 business days. </w:t>
      </w:r>
    </w:p>
    <w:p w14:paraId="665235B4" w14:textId="77777777" w:rsidR="002741AE" w:rsidRPr="002741AE" w:rsidRDefault="002741AE" w:rsidP="002741AE">
      <w:pPr>
        <w:spacing w:before="240"/>
        <w:rPr>
          <w:rFonts w:ascii="Arial" w:hAnsi="Arial" w:cs="Calibri"/>
          <w:i/>
          <w:iCs/>
          <w:sz w:val="20"/>
          <w:szCs w:val="20"/>
        </w:rPr>
      </w:pPr>
      <w:r w:rsidRPr="002741AE">
        <w:rPr>
          <w:rFonts w:ascii="Arial" w:hAnsi="Arial" w:cs="Calibri"/>
          <w:i/>
          <w:iCs/>
          <w:sz w:val="20"/>
          <w:szCs w:val="20"/>
        </w:rPr>
        <w:t xml:space="preserve">(i) If the reported positive COVID test is </w:t>
      </w:r>
      <w:r w:rsidRPr="002741AE">
        <w:rPr>
          <w:rFonts w:ascii="Arial" w:hAnsi="Arial" w:cs="Calibri"/>
          <w:i/>
          <w:iCs/>
          <w:sz w:val="20"/>
          <w:szCs w:val="20"/>
          <w:u w:val="single"/>
        </w:rPr>
        <w:t>not</w:t>
      </w:r>
      <w:r w:rsidRPr="002741AE">
        <w:rPr>
          <w:rFonts w:ascii="Arial" w:hAnsi="Arial" w:cs="Calibri"/>
          <w:i/>
          <w:iCs/>
          <w:sz w:val="20"/>
          <w:szCs w:val="20"/>
        </w:rPr>
        <w:t xml:space="preserve"> from work, use the reporting method your carrier/TPA developed in response to the “SB1159” legislation. This method should contain all the required information regarding dates, </w:t>
      </w:r>
      <w:proofErr w:type="gramStart"/>
      <w:r w:rsidRPr="002741AE">
        <w:rPr>
          <w:rFonts w:ascii="Arial" w:hAnsi="Arial" w:cs="Calibri"/>
          <w:i/>
          <w:iCs/>
          <w:sz w:val="20"/>
          <w:szCs w:val="20"/>
        </w:rPr>
        <w:t>locations</w:t>
      </w:r>
      <w:proofErr w:type="gramEnd"/>
      <w:r w:rsidRPr="002741AE">
        <w:rPr>
          <w:rFonts w:ascii="Arial" w:hAnsi="Arial" w:cs="Calibri"/>
          <w:i/>
          <w:iCs/>
          <w:sz w:val="20"/>
          <w:szCs w:val="20"/>
        </w:rPr>
        <w:t xml:space="preserve"> and times.  (Remember-the report shall </w:t>
      </w:r>
      <w:r w:rsidRPr="002741AE">
        <w:rPr>
          <w:rFonts w:ascii="Arial" w:hAnsi="Arial" w:cs="Calibri"/>
          <w:i/>
          <w:iCs/>
          <w:sz w:val="20"/>
          <w:szCs w:val="20"/>
          <w:u w:val="single"/>
        </w:rPr>
        <w:t>not</w:t>
      </w:r>
      <w:r w:rsidRPr="002741AE">
        <w:rPr>
          <w:rFonts w:ascii="Arial" w:hAnsi="Arial" w:cs="Calibri"/>
          <w:i/>
          <w:iCs/>
          <w:sz w:val="20"/>
          <w:szCs w:val="20"/>
        </w:rPr>
        <w:t xml:space="preserve"> provide any personally identifiable information, unless the employee asserts work-relatedness or has filed a claim</w:t>
      </w:r>
      <w:proofErr w:type="gramStart"/>
      <w:r w:rsidRPr="002741AE">
        <w:rPr>
          <w:rFonts w:ascii="Arial" w:hAnsi="Arial" w:cs="Calibri"/>
          <w:i/>
          <w:iCs/>
          <w:sz w:val="20"/>
          <w:szCs w:val="20"/>
        </w:rPr>
        <w:t>);</w:t>
      </w:r>
      <w:proofErr w:type="gramEnd"/>
      <w:r w:rsidRPr="002741AE">
        <w:rPr>
          <w:rFonts w:ascii="Arial" w:hAnsi="Arial" w:cs="Calibri"/>
          <w:i/>
          <w:iCs/>
          <w:sz w:val="20"/>
          <w:szCs w:val="20"/>
        </w:rPr>
        <w:t xml:space="preserve"> </w:t>
      </w:r>
    </w:p>
    <w:p w14:paraId="7AE31666" w14:textId="77777777" w:rsidR="002741AE" w:rsidRPr="002741AE" w:rsidRDefault="002741AE" w:rsidP="002741AE">
      <w:pPr>
        <w:spacing w:before="240"/>
        <w:rPr>
          <w:rFonts w:ascii="Arial" w:hAnsi="Arial" w:cs="Calibri"/>
          <w:i/>
          <w:iCs/>
          <w:sz w:val="20"/>
          <w:szCs w:val="20"/>
        </w:rPr>
      </w:pPr>
      <w:r w:rsidRPr="002741AE">
        <w:rPr>
          <w:rFonts w:ascii="Arial" w:hAnsi="Arial" w:cs="Calibri"/>
          <w:i/>
          <w:iCs/>
          <w:sz w:val="20"/>
          <w:szCs w:val="20"/>
        </w:rPr>
        <w:t xml:space="preserve">(ii)  If the reported COVID exposure </w:t>
      </w:r>
      <w:r w:rsidRPr="002741AE">
        <w:rPr>
          <w:rFonts w:ascii="Arial" w:hAnsi="Arial" w:cs="Calibri"/>
          <w:i/>
          <w:iCs/>
          <w:sz w:val="20"/>
          <w:szCs w:val="20"/>
          <w:u w:val="single"/>
        </w:rPr>
        <w:t>is</w:t>
      </w:r>
      <w:r w:rsidRPr="002741AE">
        <w:rPr>
          <w:rFonts w:ascii="Arial" w:hAnsi="Arial" w:cs="Calibri"/>
          <w:i/>
          <w:iCs/>
          <w:sz w:val="20"/>
          <w:szCs w:val="20"/>
        </w:rPr>
        <w:t xml:space="preserve"> from work, then report the notice as a WC claim.</w:t>
      </w:r>
    </w:p>
    <w:p w14:paraId="74DF495A" w14:textId="77777777" w:rsidR="0085202B" w:rsidRPr="0085202B" w:rsidRDefault="002741AE" w:rsidP="002741AE">
      <w:pPr>
        <w:spacing w:before="240"/>
        <w:rPr>
          <w:rFonts w:ascii="Arial" w:hAnsi="Arial" w:cs="Calibri"/>
          <w:i/>
          <w:iCs/>
          <w:sz w:val="20"/>
          <w:szCs w:val="20"/>
        </w:rPr>
      </w:pPr>
      <w:r w:rsidRPr="002741AE">
        <w:rPr>
          <w:rFonts w:ascii="Arial" w:hAnsi="Arial" w:cs="Calibri"/>
          <w:b/>
          <w:bCs/>
          <w:i/>
          <w:iCs/>
          <w:sz w:val="20"/>
          <w:szCs w:val="20"/>
        </w:rPr>
        <w:t xml:space="preserve">AB 1751 </w:t>
      </w:r>
      <w:r w:rsidRPr="002741AE">
        <w:rPr>
          <w:rFonts w:ascii="Arial" w:hAnsi="Arial" w:cs="Calibri"/>
          <w:i/>
          <w:iCs/>
          <w:sz w:val="20"/>
          <w:szCs w:val="20"/>
        </w:rPr>
        <w:t xml:space="preserve">also expanded the LC Section </w:t>
      </w:r>
      <w:r w:rsidRPr="002741AE">
        <w:rPr>
          <w:rFonts w:ascii="Arial" w:hAnsi="Arial" w:cs="Calibri"/>
          <w:b/>
          <w:bCs/>
          <w:i/>
          <w:iCs/>
          <w:sz w:val="20"/>
          <w:szCs w:val="20"/>
        </w:rPr>
        <w:t xml:space="preserve">3212.87 </w:t>
      </w:r>
      <w:r w:rsidRPr="002741AE">
        <w:rPr>
          <w:rFonts w:ascii="Arial" w:hAnsi="Arial" w:cs="Calibri"/>
          <w:i/>
          <w:iCs/>
          <w:sz w:val="20"/>
          <w:szCs w:val="20"/>
        </w:rPr>
        <w:t>provisions (applicable to firefighters and peace officers) to include the following employees: active firefighting members of a fire department at the State Department of State Hospitals, the State Department of Developmental Services, the Military Department, and the Department of Veterans Affairs, and further, to peace officers of any state hospital under the jurisdiction of the State Department of State Hospitals and the State Department of Developmental Services.</w:t>
      </w:r>
    </w:p>
    <w:p w14:paraId="350DFD1A" w14:textId="77777777" w:rsidR="0085202B" w:rsidRPr="0085202B" w:rsidRDefault="0085202B" w:rsidP="002741AE">
      <w:pPr>
        <w:spacing w:before="240"/>
        <w:rPr>
          <w:rFonts w:ascii="Arial" w:hAnsi="Arial" w:cs="Calibri"/>
          <w:lang w:val="en"/>
        </w:rPr>
      </w:pPr>
      <w:r w:rsidRPr="002741AE">
        <w:rPr>
          <w:rFonts w:ascii="Arial" w:hAnsi="Arial" w:cs="Calibri"/>
          <w:lang w:val="en"/>
        </w:rPr>
        <w:t>++++++++++++++++++++++++++++++++++++++++++++++++++++++++++++++++</w:t>
      </w:r>
    </w:p>
    <w:p w14:paraId="74B3AE93" w14:textId="77777777" w:rsidR="002741AE" w:rsidRPr="002741AE" w:rsidRDefault="002741AE" w:rsidP="002741AE">
      <w:pPr>
        <w:spacing w:before="240"/>
        <w:rPr>
          <w:rFonts w:ascii="Arial" w:hAnsi="Arial" w:cs="Calibri"/>
          <w:b/>
          <w:sz w:val="28"/>
          <w:szCs w:val="28"/>
          <w:lang w:val="en"/>
        </w:rPr>
      </w:pPr>
      <w:r w:rsidRPr="002741AE">
        <w:rPr>
          <w:rFonts w:ascii="Arial" w:hAnsi="Arial" w:cs="Calibri"/>
          <w:b/>
          <w:sz w:val="28"/>
          <w:szCs w:val="28"/>
          <w:lang w:val="en"/>
        </w:rPr>
        <w:t xml:space="preserve">Customer Advisory: COVID-19: California Workers’ Compensation </w:t>
      </w:r>
    </w:p>
    <w:p w14:paraId="2C3D3F54" w14:textId="77777777" w:rsidR="002741AE" w:rsidRPr="002741AE" w:rsidRDefault="002741AE" w:rsidP="002741AE">
      <w:pPr>
        <w:spacing w:before="240"/>
        <w:rPr>
          <w:rFonts w:ascii="Arial" w:hAnsi="Arial" w:cs="Calibri"/>
        </w:rPr>
      </w:pPr>
      <w:r w:rsidRPr="002741AE">
        <w:rPr>
          <w:rFonts w:ascii="Arial" w:hAnsi="Arial" w:cs="Calibri"/>
        </w:rPr>
        <w:t>UPDATED DECEMBER 8, 2022</w:t>
      </w:r>
    </w:p>
    <w:p w14:paraId="44B35228" w14:textId="77777777" w:rsidR="002741AE" w:rsidRPr="002741AE" w:rsidRDefault="002741AE" w:rsidP="002741AE">
      <w:pPr>
        <w:spacing w:before="240"/>
        <w:rPr>
          <w:rFonts w:ascii="Arial" w:hAnsi="Arial" w:cs="Calibri"/>
          <w:b/>
          <w:i/>
          <w:lang w:val="en"/>
        </w:rPr>
      </w:pPr>
      <w:r w:rsidRPr="002741AE">
        <w:rPr>
          <w:rFonts w:ascii="Arial" w:hAnsi="Arial" w:cs="Calibri"/>
          <w:b/>
          <w:i/>
          <w:lang w:val="en"/>
        </w:rPr>
        <w:t>This advisory is not meant to offer legal advice, but to provide general information about important changes primarily impacting Workers’ Compensation in connection with COVID-19. Employers are encouraged to review any legislation or new laws with their own counsel.</w:t>
      </w:r>
    </w:p>
    <w:p w14:paraId="2E639DCD" w14:textId="77777777" w:rsidR="002741AE" w:rsidRPr="002741AE" w:rsidRDefault="002741AE" w:rsidP="002741AE">
      <w:pPr>
        <w:spacing w:before="240"/>
        <w:rPr>
          <w:rFonts w:ascii="Arial" w:hAnsi="Arial" w:cs="Calibri"/>
          <w:b/>
          <w:lang w:val="en"/>
        </w:rPr>
      </w:pPr>
      <w:r w:rsidRPr="002741AE">
        <w:rPr>
          <w:rFonts w:ascii="Arial" w:hAnsi="Arial" w:cs="Calibri"/>
          <w:b/>
          <w:lang w:val="en"/>
        </w:rPr>
        <w:t>Background</w:t>
      </w:r>
    </w:p>
    <w:p w14:paraId="3EA99013" w14:textId="77777777" w:rsidR="002741AE" w:rsidRPr="002741AE" w:rsidRDefault="002741AE" w:rsidP="002741AE">
      <w:pPr>
        <w:spacing w:before="240"/>
        <w:rPr>
          <w:rFonts w:ascii="Arial" w:hAnsi="Arial" w:cs="Calibri"/>
          <w:lang w:val="en"/>
        </w:rPr>
      </w:pPr>
      <w:r w:rsidRPr="002741AE">
        <w:rPr>
          <w:rFonts w:ascii="Arial" w:hAnsi="Arial" w:cs="Calibri"/>
          <w:lang w:val="en"/>
        </w:rPr>
        <w:t>Beginning in 2020, important legislative acts regarding Workers’ Compensation and COVID-19 have been signed into law, creating additional sections to the Labor Code.</w:t>
      </w:r>
    </w:p>
    <w:p w14:paraId="0A08F123" w14:textId="77777777" w:rsidR="002741AE" w:rsidRPr="002741AE" w:rsidRDefault="002741AE" w:rsidP="002741AE">
      <w:pPr>
        <w:spacing w:before="240"/>
        <w:rPr>
          <w:rFonts w:ascii="Arial" w:hAnsi="Arial" w:cs="Calibri"/>
          <w:lang w:val="en"/>
        </w:rPr>
      </w:pPr>
      <w:r w:rsidRPr="002741AE">
        <w:rPr>
          <w:rFonts w:ascii="Arial" w:hAnsi="Arial" w:cs="Calibri"/>
          <w:b/>
          <w:lang w:val="en"/>
        </w:rPr>
        <w:lastRenderedPageBreak/>
        <w:t xml:space="preserve">Employers should take note </w:t>
      </w:r>
      <w:r w:rsidRPr="002741AE">
        <w:rPr>
          <w:rFonts w:ascii="Arial" w:hAnsi="Arial" w:cs="Calibri"/>
          <w:lang w:val="en"/>
        </w:rPr>
        <w:t xml:space="preserve">that this legislation contains important COVID-19 reporting obligations for employers. The Hartford encourages impacted customers to use one of the below links to learn more and report as required.  </w:t>
      </w:r>
    </w:p>
    <w:p w14:paraId="14178317" w14:textId="77777777" w:rsidR="002741AE" w:rsidRPr="002741AE" w:rsidRDefault="002741AE" w:rsidP="002741AE">
      <w:pPr>
        <w:spacing w:before="240"/>
        <w:rPr>
          <w:rFonts w:ascii="Arial" w:hAnsi="Arial" w:cs="Calibri"/>
          <w:iCs/>
          <w:u w:val="single"/>
          <w:lang w:val="en"/>
        </w:rPr>
      </w:pPr>
      <w:r w:rsidRPr="002741AE">
        <w:rPr>
          <w:rFonts w:ascii="Arial" w:hAnsi="Arial" w:cs="Calibri"/>
          <w:b/>
          <w:bCs/>
          <w:iCs/>
          <w:u w:val="single"/>
          <w:lang w:val="en"/>
        </w:rPr>
        <w:t>Note also</w:t>
      </w:r>
      <w:r w:rsidRPr="002741AE">
        <w:rPr>
          <w:rFonts w:ascii="Arial" w:hAnsi="Arial" w:cs="Calibri"/>
          <w:iCs/>
          <w:u w:val="single"/>
          <w:lang w:val="en"/>
        </w:rPr>
        <w:t xml:space="preserve">-legislation signed by the Governor September 29, </w:t>
      </w:r>
      <w:proofErr w:type="gramStart"/>
      <w:r w:rsidRPr="002741AE">
        <w:rPr>
          <w:rFonts w:ascii="Arial" w:hAnsi="Arial" w:cs="Calibri"/>
          <w:iCs/>
          <w:u w:val="single"/>
          <w:lang w:val="en"/>
        </w:rPr>
        <w:t>2022</w:t>
      </w:r>
      <w:proofErr w:type="gramEnd"/>
      <w:r w:rsidRPr="002741AE">
        <w:rPr>
          <w:rFonts w:ascii="Arial" w:hAnsi="Arial" w:cs="Calibri"/>
          <w:iCs/>
          <w:u w:val="single"/>
          <w:lang w:val="en"/>
        </w:rPr>
        <w:t xml:space="preserve"> extended the dates of all presumptions in the applicable Labor Code sections noted below by one (1) additional year, to then be repealed January 1, 2024.</w:t>
      </w:r>
    </w:p>
    <w:p w14:paraId="650CC5BF" w14:textId="77777777" w:rsidR="002741AE" w:rsidRPr="002741AE" w:rsidRDefault="002741AE" w:rsidP="002741AE">
      <w:pPr>
        <w:spacing w:before="240"/>
        <w:rPr>
          <w:rFonts w:ascii="Arial" w:hAnsi="Arial" w:cs="Calibri"/>
          <w:lang w:val="en"/>
        </w:rPr>
      </w:pPr>
      <w:r w:rsidRPr="002741AE">
        <w:rPr>
          <w:rFonts w:ascii="Arial" w:hAnsi="Arial" w:cs="Calibri"/>
          <w:b/>
          <w:lang w:val="en"/>
        </w:rPr>
        <w:t>Note: The hyperlinks below report directly to The Hartford. Any employer that has a different claims administrator should communicate directly with them.</w:t>
      </w:r>
    </w:p>
    <w:p w14:paraId="360B19A9" w14:textId="77777777" w:rsidR="002741AE" w:rsidRPr="002741AE" w:rsidRDefault="00EA6F5B" w:rsidP="002741AE">
      <w:pPr>
        <w:spacing w:before="240"/>
        <w:rPr>
          <w:rFonts w:ascii="Arial" w:hAnsi="Arial" w:cs="Calibri"/>
        </w:rPr>
      </w:pPr>
      <w:hyperlink r:id="rId16" w:tgtFrame="_blank" w:history="1">
        <w:r w:rsidR="002741AE" w:rsidRPr="002741AE">
          <w:rPr>
            <w:rStyle w:val="Hyperlink"/>
            <w:rFonts w:ascii="Arial" w:hAnsi="Arial" w:cs="Calibri"/>
          </w:rPr>
          <w:t>California COVID-19 Positive Test Reporting on/after 7/6/20-9/16/20</w:t>
        </w:r>
      </w:hyperlink>
    </w:p>
    <w:p w14:paraId="62E44A19" w14:textId="3CA7A1DE" w:rsidR="002741AE" w:rsidRPr="002741AE" w:rsidRDefault="00EA6F5B" w:rsidP="002741AE">
      <w:pPr>
        <w:spacing w:before="240"/>
        <w:rPr>
          <w:rFonts w:ascii="Arial" w:hAnsi="Arial" w:cs="Calibri"/>
        </w:rPr>
      </w:pPr>
      <w:hyperlink r:id="rId17" w:tgtFrame="_blank" w:history="1">
        <w:r w:rsidR="00C82EF4">
          <w:rPr>
            <w:rStyle w:val="Hyperlink"/>
            <w:rFonts w:ascii="Arial" w:hAnsi="Arial" w:cs="Calibri"/>
          </w:rPr>
          <w:t>California COVID-19 Positive Test Reporting on/after 9/17/20-1/1/24</w:t>
        </w:r>
      </w:hyperlink>
    </w:p>
    <w:p w14:paraId="6AFB9BE3" w14:textId="77777777" w:rsidR="002741AE" w:rsidRPr="002741AE" w:rsidRDefault="002741AE" w:rsidP="002741AE">
      <w:pPr>
        <w:spacing w:before="240"/>
        <w:rPr>
          <w:rFonts w:ascii="Arial" w:hAnsi="Arial" w:cs="Calibri"/>
          <w:lang w:val="en"/>
        </w:rPr>
      </w:pPr>
      <w:r w:rsidRPr="002741AE">
        <w:rPr>
          <w:rFonts w:ascii="Arial" w:hAnsi="Arial" w:cs="Calibri"/>
          <w:lang w:val="en"/>
        </w:rPr>
        <w:t>++++++++++++++++++++++++++++++++++++++++++++++++++++++++++++++++</w:t>
      </w:r>
    </w:p>
    <w:p w14:paraId="51984881" w14:textId="77777777" w:rsidR="002741AE" w:rsidRPr="002741AE" w:rsidRDefault="002741AE" w:rsidP="002741AE">
      <w:pPr>
        <w:spacing w:before="240"/>
        <w:rPr>
          <w:rFonts w:ascii="Arial" w:hAnsi="Arial" w:cs="Calibri"/>
          <w:lang w:val="en"/>
        </w:rPr>
      </w:pPr>
      <w:r w:rsidRPr="002741AE">
        <w:rPr>
          <w:rFonts w:ascii="Arial" w:hAnsi="Arial" w:cs="Calibri"/>
          <w:lang w:val="en"/>
        </w:rPr>
        <w:t>The following is an overview of the primary legislative acts addressing COVID-19:</w:t>
      </w:r>
    </w:p>
    <w:p w14:paraId="5A224C36" w14:textId="77777777" w:rsidR="002741AE" w:rsidRPr="002741AE" w:rsidRDefault="002741AE" w:rsidP="002741AE">
      <w:pPr>
        <w:numPr>
          <w:ilvl w:val="0"/>
          <w:numId w:val="6"/>
        </w:numPr>
        <w:spacing w:before="240"/>
        <w:rPr>
          <w:rFonts w:ascii="Arial" w:hAnsi="Arial" w:cs="Calibri"/>
          <w:lang w:val="en"/>
        </w:rPr>
      </w:pPr>
      <w:r w:rsidRPr="002741AE">
        <w:rPr>
          <w:rFonts w:ascii="Arial" w:hAnsi="Arial" w:cs="Calibri"/>
          <w:b/>
          <w:i/>
          <w:lang w:val="en"/>
        </w:rPr>
        <w:t xml:space="preserve">Historically, </w:t>
      </w:r>
      <w:r w:rsidRPr="002741AE">
        <w:rPr>
          <w:rFonts w:ascii="Arial" w:hAnsi="Arial" w:cs="Calibri"/>
          <w:lang w:val="en"/>
        </w:rPr>
        <w:t xml:space="preserve">legislation (referenced as “SB 1159”) was signed into law by the Governor with an effective date September 17, 2020. </w:t>
      </w:r>
    </w:p>
    <w:p w14:paraId="70D29B2A" w14:textId="77777777" w:rsidR="002741AE" w:rsidRPr="002741AE" w:rsidRDefault="002741AE" w:rsidP="002741AE">
      <w:pPr>
        <w:spacing w:before="240"/>
        <w:rPr>
          <w:rFonts w:ascii="Arial" w:hAnsi="Arial" w:cs="Calibri"/>
          <w:b/>
          <w:lang w:val="en"/>
        </w:rPr>
      </w:pPr>
    </w:p>
    <w:p w14:paraId="5A979B82" w14:textId="77777777" w:rsidR="002741AE" w:rsidRPr="002741AE" w:rsidRDefault="002741AE" w:rsidP="002741AE">
      <w:pPr>
        <w:spacing w:before="240"/>
        <w:rPr>
          <w:rFonts w:ascii="Arial" w:hAnsi="Arial" w:cs="Calibri"/>
          <w:lang w:val="en"/>
        </w:rPr>
      </w:pPr>
      <w:r w:rsidRPr="002741AE">
        <w:rPr>
          <w:rFonts w:ascii="Arial" w:hAnsi="Arial" w:cs="Calibri"/>
          <w:b/>
          <w:lang w:val="en"/>
        </w:rPr>
        <w:t xml:space="preserve">Executive summary: </w:t>
      </w:r>
      <w:r w:rsidRPr="002741AE">
        <w:rPr>
          <w:rFonts w:ascii="Arial" w:hAnsi="Arial" w:cs="Calibri"/>
          <w:lang w:val="en"/>
        </w:rPr>
        <w:t>In a summarization</w:t>
      </w:r>
      <w:r w:rsidRPr="002741AE">
        <w:rPr>
          <w:rFonts w:ascii="Arial" w:hAnsi="Arial" w:cs="Calibri"/>
          <w:b/>
          <w:lang w:val="en"/>
        </w:rPr>
        <w:t xml:space="preserve"> </w:t>
      </w:r>
      <w:r w:rsidRPr="002741AE">
        <w:rPr>
          <w:rFonts w:ascii="Arial" w:hAnsi="Arial" w:cs="Calibri"/>
          <w:lang w:val="en"/>
        </w:rPr>
        <w:t xml:space="preserve">provided by the California legislature, that law: (i) defined “injury” for an employee to include illness or death resulting from the 2019 novel coronavirus disease (COVID-19) under specified circumstances, until January 1, 2024 {Note: this </w:t>
      </w:r>
      <w:r w:rsidRPr="002741AE">
        <w:rPr>
          <w:rFonts w:ascii="Arial" w:hAnsi="Arial" w:cs="Calibri"/>
          <w:i/>
          <w:iCs/>
          <w:lang w:val="en"/>
        </w:rPr>
        <w:t>2024</w:t>
      </w:r>
      <w:r w:rsidRPr="002741AE">
        <w:rPr>
          <w:rFonts w:ascii="Arial" w:hAnsi="Arial" w:cs="Calibri"/>
          <w:lang w:val="en"/>
        </w:rPr>
        <w:t xml:space="preserve"> date is from a 2022 legislative update}, (ii) creates a disputable presumption, as specified, that the injury arose out of and in the course of the employment and is compensable, for specified dates of injury, (iii) limits the applicability of the presumption under certain circumstances, (iv) requires an employee to exhaust their Covid-19 paid sick leave benefits and meet specified certification requirements before receiving any temporary disability benefits or, for police officers, firefighters, and other specified employees, a leave of absence, (v) makes a claim relating to a COVID-19 illness presumptively compensable, as described above, after 30 days or 45 days, rather than 90 days. </w:t>
      </w:r>
    </w:p>
    <w:p w14:paraId="0535B0CF" w14:textId="77777777" w:rsidR="002741AE" w:rsidRPr="002741AE" w:rsidRDefault="002741AE" w:rsidP="002741AE">
      <w:pPr>
        <w:spacing w:before="240"/>
        <w:rPr>
          <w:rFonts w:ascii="Arial" w:hAnsi="Arial" w:cs="Calibri"/>
          <w:lang w:val="en"/>
        </w:rPr>
      </w:pPr>
      <w:r w:rsidRPr="002741AE">
        <w:rPr>
          <w:rFonts w:ascii="Arial" w:hAnsi="Arial" w:cs="Calibri"/>
          <w:lang w:val="en"/>
        </w:rPr>
        <w:t xml:space="preserve">Until January 1, 2024, {Note: this </w:t>
      </w:r>
      <w:r w:rsidRPr="002741AE">
        <w:rPr>
          <w:rFonts w:ascii="Arial" w:hAnsi="Arial" w:cs="Calibri"/>
          <w:i/>
          <w:iCs/>
          <w:lang w:val="en"/>
        </w:rPr>
        <w:t>2024</w:t>
      </w:r>
      <w:r w:rsidRPr="002741AE">
        <w:rPr>
          <w:rFonts w:ascii="Arial" w:hAnsi="Arial" w:cs="Calibri"/>
          <w:lang w:val="en"/>
        </w:rPr>
        <w:t xml:space="preserve"> date is from a 2022 legislative update} the law allows, in addition to a presumption for certain identified {front-line} employees, a presumption of injury for all employees whose fellow employees, at their place of employment, experience specified levels of positive testing, and </w:t>
      </w:r>
      <w:r w:rsidRPr="002741AE">
        <w:rPr>
          <w:rFonts w:ascii="Arial" w:hAnsi="Arial" w:cs="Calibri"/>
          <w:b/>
          <w:lang w:val="en"/>
        </w:rPr>
        <w:t xml:space="preserve">whose employer </w:t>
      </w:r>
      <w:r w:rsidRPr="002741AE">
        <w:rPr>
          <w:rFonts w:ascii="Arial" w:hAnsi="Arial" w:cs="Calibri"/>
          <w:b/>
          <w:u w:val="single"/>
          <w:lang w:val="en"/>
        </w:rPr>
        <w:t xml:space="preserve">has 5 or more </w:t>
      </w:r>
      <w:proofErr w:type="gramStart"/>
      <w:r w:rsidRPr="002741AE">
        <w:rPr>
          <w:rFonts w:ascii="Arial" w:hAnsi="Arial" w:cs="Calibri"/>
          <w:b/>
          <w:u w:val="single"/>
          <w:lang w:val="en"/>
        </w:rPr>
        <w:t>employees</w:t>
      </w:r>
      <w:r w:rsidRPr="002741AE">
        <w:rPr>
          <w:rFonts w:ascii="Arial" w:hAnsi="Arial" w:cs="Calibri"/>
          <w:u w:val="single"/>
          <w:lang w:val="en"/>
        </w:rPr>
        <w:t xml:space="preserve">  (</w:t>
      </w:r>
      <w:proofErr w:type="gramEnd"/>
      <w:r w:rsidRPr="002741AE">
        <w:rPr>
          <w:rFonts w:ascii="Arial" w:hAnsi="Arial" w:cs="Calibri"/>
          <w:u w:val="single"/>
          <w:lang w:val="en"/>
        </w:rPr>
        <w:t>termed an “outbreak”)</w:t>
      </w:r>
      <w:r w:rsidRPr="002741AE">
        <w:rPr>
          <w:rFonts w:ascii="Arial" w:hAnsi="Arial" w:cs="Calibri"/>
          <w:lang w:val="en"/>
        </w:rPr>
        <w:t>.</w:t>
      </w:r>
    </w:p>
    <w:p w14:paraId="77CC9BDC" w14:textId="77777777" w:rsidR="002741AE" w:rsidRPr="002741AE" w:rsidRDefault="002741AE" w:rsidP="002741AE">
      <w:pPr>
        <w:spacing w:before="240"/>
        <w:rPr>
          <w:rFonts w:ascii="Arial" w:hAnsi="Arial" w:cs="Calibri"/>
          <w:b/>
          <w:bCs/>
          <w:i/>
          <w:u w:val="single"/>
          <w:lang w:val="en"/>
        </w:rPr>
      </w:pPr>
      <w:r w:rsidRPr="002741AE">
        <w:rPr>
          <w:rFonts w:ascii="Arial" w:hAnsi="Arial" w:cs="Calibri"/>
          <w:b/>
          <w:bCs/>
          <w:lang w:val="en"/>
        </w:rPr>
        <w:lastRenderedPageBreak/>
        <w:t xml:space="preserve">This law has several sections. Only certain excerpts and components from Sections (2), (3) and (4) are set forth below as most important for The Hartford’s insureds and operational staff customers; this is not the entire law. For completeness in some excerpts, full text is provided. </w:t>
      </w:r>
      <w:r w:rsidRPr="002741AE">
        <w:rPr>
          <w:rFonts w:ascii="Arial" w:hAnsi="Arial" w:cs="Calibri"/>
          <w:b/>
          <w:bCs/>
          <w:i/>
          <w:lang w:val="en"/>
        </w:rPr>
        <w:t xml:space="preserve">Certain edits, bolding and italics are provided here for ease of use. </w:t>
      </w:r>
      <w:r w:rsidRPr="002741AE">
        <w:rPr>
          <w:rFonts w:ascii="Arial" w:hAnsi="Arial" w:cs="Calibri"/>
          <w:b/>
          <w:bCs/>
          <w:i/>
          <w:u w:val="single"/>
          <w:lang w:val="en"/>
        </w:rPr>
        <w:t xml:space="preserve">Employers should consult with their own Legal, or Human Resources staff, for further guidance. </w:t>
      </w:r>
    </w:p>
    <w:p w14:paraId="7F843CA1" w14:textId="77777777" w:rsidR="002741AE" w:rsidRPr="002741AE" w:rsidRDefault="002741AE" w:rsidP="002741AE">
      <w:pPr>
        <w:numPr>
          <w:ilvl w:val="0"/>
          <w:numId w:val="6"/>
        </w:numPr>
        <w:spacing w:before="240"/>
        <w:rPr>
          <w:rFonts w:ascii="Arial" w:hAnsi="Arial" w:cs="Calibri"/>
          <w:lang w:val="en"/>
        </w:rPr>
      </w:pPr>
      <w:r w:rsidRPr="002741AE">
        <w:rPr>
          <w:rFonts w:ascii="Arial" w:hAnsi="Arial" w:cs="Calibri"/>
          <w:b/>
          <w:bCs/>
          <w:lang w:val="en"/>
        </w:rPr>
        <w:t xml:space="preserve">Historically, </w:t>
      </w:r>
      <w:r w:rsidRPr="002741AE">
        <w:rPr>
          <w:rFonts w:ascii="Arial" w:hAnsi="Arial" w:cs="Calibri"/>
          <w:lang w:val="en"/>
        </w:rPr>
        <w:t>former</w:t>
      </w:r>
      <w:r w:rsidRPr="002741AE">
        <w:rPr>
          <w:rFonts w:ascii="Arial" w:hAnsi="Arial" w:cs="Calibri"/>
          <w:b/>
          <w:bCs/>
          <w:lang w:val="en"/>
        </w:rPr>
        <w:t xml:space="preserve"> “AB 685”, (</w:t>
      </w:r>
      <w:r w:rsidRPr="002741AE">
        <w:rPr>
          <w:rFonts w:ascii="Arial" w:hAnsi="Arial" w:cs="Calibri"/>
          <w:lang w:val="en"/>
        </w:rPr>
        <w:t xml:space="preserve">now contained in the Labor Code, and which was effective for employer action </w:t>
      </w:r>
      <w:r w:rsidRPr="002741AE">
        <w:rPr>
          <w:rFonts w:ascii="Arial" w:hAnsi="Arial" w:cs="Calibri"/>
          <w:b/>
          <w:lang w:val="en"/>
        </w:rPr>
        <w:t xml:space="preserve">January 1, 2021), </w:t>
      </w:r>
      <w:r w:rsidRPr="002741AE">
        <w:rPr>
          <w:rFonts w:ascii="Arial" w:hAnsi="Arial" w:cs="Calibri"/>
          <w:bCs/>
          <w:lang w:val="en"/>
        </w:rPr>
        <w:t xml:space="preserve">addressed more fully at the end of this Advisory, places employers on notice of requirements to provide employee COVID-19 advisories. </w:t>
      </w:r>
    </w:p>
    <w:p w14:paraId="0F16FA7B" w14:textId="77777777" w:rsidR="002741AE" w:rsidRPr="002741AE" w:rsidRDefault="002741AE" w:rsidP="002741AE">
      <w:pPr>
        <w:spacing w:before="240"/>
        <w:rPr>
          <w:rFonts w:ascii="Arial" w:hAnsi="Arial" w:cs="Calibri"/>
          <w:lang w:val="en"/>
        </w:rPr>
      </w:pPr>
    </w:p>
    <w:p w14:paraId="7F93FC3F" w14:textId="77777777" w:rsidR="002741AE" w:rsidRPr="002741AE" w:rsidRDefault="002741AE" w:rsidP="002741AE">
      <w:pPr>
        <w:numPr>
          <w:ilvl w:val="0"/>
          <w:numId w:val="6"/>
        </w:numPr>
        <w:spacing w:before="240"/>
        <w:rPr>
          <w:rFonts w:ascii="Arial" w:hAnsi="Arial" w:cs="Calibri"/>
        </w:rPr>
      </w:pPr>
      <w:r w:rsidRPr="002741AE">
        <w:rPr>
          <w:rFonts w:ascii="Arial" w:hAnsi="Arial" w:cs="Calibri"/>
          <w:b/>
          <w:bCs/>
        </w:rPr>
        <w:t xml:space="preserve">September 2022: </w:t>
      </w:r>
      <w:r w:rsidRPr="002741AE">
        <w:rPr>
          <w:rFonts w:ascii="Arial" w:hAnsi="Arial" w:cs="Calibri"/>
        </w:rPr>
        <w:t>Legislation</w:t>
      </w:r>
      <w:r w:rsidRPr="002741AE">
        <w:rPr>
          <w:rFonts w:ascii="Arial" w:hAnsi="Arial" w:cs="Calibri"/>
          <w:b/>
          <w:bCs/>
        </w:rPr>
        <w:t xml:space="preserve"> </w:t>
      </w:r>
      <w:r w:rsidRPr="002741AE">
        <w:rPr>
          <w:rFonts w:ascii="Arial" w:hAnsi="Arial" w:cs="Calibri"/>
        </w:rPr>
        <w:t>formerly known as</w:t>
      </w:r>
      <w:r w:rsidRPr="002741AE">
        <w:rPr>
          <w:rFonts w:ascii="Arial" w:hAnsi="Arial" w:cs="Calibri"/>
          <w:b/>
          <w:bCs/>
        </w:rPr>
        <w:t xml:space="preserve"> “AB 1751”, </w:t>
      </w:r>
      <w:r w:rsidRPr="002741AE">
        <w:rPr>
          <w:rFonts w:ascii="Arial" w:hAnsi="Arial" w:cs="Calibri"/>
        </w:rPr>
        <w:t>in addition to extending time frames for an additional year</w:t>
      </w:r>
      <w:r w:rsidRPr="002741AE">
        <w:rPr>
          <w:rFonts w:ascii="Arial" w:hAnsi="Arial" w:cs="Calibri"/>
          <w:b/>
          <w:bCs/>
        </w:rPr>
        <w:t xml:space="preserve">, </w:t>
      </w:r>
      <w:r w:rsidRPr="002741AE">
        <w:rPr>
          <w:rFonts w:ascii="Arial" w:hAnsi="Arial" w:cs="Calibri"/>
        </w:rPr>
        <w:t>expanded certain Labor Code sections (</w:t>
      </w:r>
      <w:r w:rsidRPr="002741AE">
        <w:rPr>
          <w:rFonts w:ascii="Arial" w:hAnsi="Arial" w:cs="Calibri"/>
          <w:b/>
          <w:bCs/>
        </w:rPr>
        <w:t>3212.87)</w:t>
      </w:r>
      <w:r w:rsidRPr="002741AE">
        <w:rPr>
          <w:rFonts w:ascii="Arial" w:hAnsi="Arial" w:cs="Calibri"/>
        </w:rPr>
        <w:t xml:space="preserve"> (applicable to firefighters and peace officers) to now include: firefighting members of a fire department at the State Department of State Hospitals, the State Department of Developmental Services, the Military Department, and the Department of Veterans Affairs, and further, to peace officers of any state hospital under the jurisdiction of the State Department of State Hospitals and the State Department of Developmental Services. </w:t>
      </w:r>
    </w:p>
    <w:p w14:paraId="6B410C99" w14:textId="77777777" w:rsidR="002741AE" w:rsidRPr="002741AE" w:rsidRDefault="00EA6F5B" w:rsidP="002741AE">
      <w:pPr>
        <w:spacing w:before="240"/>
        <w:rPr>
          <w:rFonts w:ascii="Arial" w:hAnsi="Arial" w:cs="Calibri"/>
          <w:lang w:val="en"/>
        </w:rPr>
      </w:pPr>
      <w:r>
        <w:rPr>
          <w:rFonts w:ascii="Arial" w:hAnsi="Arial" w:cs="Calibri"/>
          <w:lang w:val="en"/>
        </w:rPr>
        <w:pict w14:anchorId="5ACF60E1">
          <v:rect id="_x0000_i1025" style="width:468pt;height:1.5pt" o:hralign="center" o:hrstd="t" o:hr="t" fillcolor="#a0a0a0" stroked="f"/>
        </w:pict>
      </w:r>
    </w:p>
    <w:p w14:paraId="398D3268" w14:textId="77777777" w:rsidR="002741AE" w:rsidRPr="002741AE" w:rsidRDefault="002741AE" w:rsidP="002741AE">
      <w:pPr>
        <w:spacing w:before="240"/>
        <w:rPr>
          <w:rFonts w:ascii="Arial" w:hAnsi="Arial" w:cs="Calibri"/>
        </w:rPr>
      </w:pPr>
      <w:r w:rsidRPr="002741AE">
        <w:rPr>
          <w:rFonts w:ascii="Arial" w:hAnsi="Arial" w:cs="Calibri"/>
          <w:b/>
          <w:bCs/>
          <w:lang w:val="en"/>
        </w:rPr>
        <w:t xml:space="preserve">SECTION 2: (Historical Note: </w:t>
      </w:r>
      <w:r w:rsidRPr="002741AE">
        <w:rPr>
          <w:rFonts w:ascii="Arial" w:hAnsi="Arial" w:cs="Calibri"/>
          <w:bCs/>
          <w:lang w:val="en"/>
        </w:rPr>
        <w:t xml:space="preserve">this section primarily addresses claim situations from, and codifies much of, the California governor’s “Executive Order N-62-20”, (May 6, 2020). </w:t>
      </w:r>
      <w:r w:rsidRPr="002741AE">
        <w:rPr>
          <w:rFonts w:ascii="Arial" w:hAnsi="Arial" w:cs="Calibri"/>
          <w:lang w:val="en"/>
        </w:rPr>
        <w:t xml:space="preserve"> </w:t>
      </w:r>
      <w:r w:rsidRPr="002741AE">
        <w:rPr>
          <w:rFonts w:ascii="Arial" w:hAnsi="Arial" w:cs="Calibri"/>
        </w:rPr>
        <w:t xml:space="preserve">That Executive Order created a rebuttable presumption of occupational disease for employees who tested positive for/diagnosed with COVID-19 within 14 days after a day that the employee performed labor or services at the place of employment at the employer’s direction. It was effective on or after 3/19/2020. It does not apply to place of employment if that place is the employee’s residence; effective for 60 days following the 5/06/2020 order). </w:t>
      </w:r>
    </w:p>
    <w:p w14:paraId="78D39E1D" w14:textId="77777777" w:rsidR="002741AE" w:rsidRPr="002741AE" w:rsidRDefault="002741AE" w:rsidP="002741AE">
      <w:pPr>
        <w:spacing w:before="240"/>
        <w:rPr>
          <w:rFonts w:ascii="Arial" w:hAnsi="Arial" w:cs="Calibri"/>
          <w:lang w:val="en"/>
        </w:rPr>
      </w:pPr>
      <w:r w:rsidRPr="002741AE">
        <w:rPr>
          <w:rFonts w:ascii="Arial" w:hAnsi="Arial" w:cs="Calibri"/>
          <w:bCs/>
          <w:lang w:val="en"/>
        </w:rPr>
        <w:t xml:space="preserve">The most important components of this portion of the law, (which adds </w:t>
      </w:r>
      <w:r w:rsidRPr="002741AE">
        <w:rPr>
          <w:rFonts w:ascii="Arial" w:hAnsi="Arial" w:cs="Calibri"/>
          <w:lang w:val="en"/>
        </w:rPr>
        <w:t xml:space="preserve">Section 3212.86 to the Labor Code), are here.  </w:t>
      </w:r>
    </w:p>
    <w:p w14:paraId="6965B2AC" w14:textId="77777777" w:rsidR="002741AE" w:rsidRPr="002741AE" w:rsidRDefault="002741AE" w:rsidP="002741AE">
      <w:pPr>
        <w:spacing w:before="240"/>
        <w:rPr>
          <w:rFonts w:ascii="Arial" w:hAnsi="Arial" w:cs="Calibri"/>
          <w:lang w:val="en"/>
        </w:rPr>
      </w:pPr>
      <w:r w:rsidRPr="002741AE">
        <w:rPr>
          <w:rFonts w:ascii="Arial" w:hAnsi="Arial" w:cs="Calibri"/>
          <w:lang w:val="en"/>
        </w:rPr>
        <w:t xml:space="preserve">This Section addresses an injury (the term “injury,” as used here, includes illness or death resulting from COVID-19) if </w:t>
      </w:r>
      <w:r w:rsidRPr="002741AE">
        <w:rPr>
          <w:rFonts w:ascii="Arial" w:hAnsi="Arial" w:cs="Calibri"/>
          <w:i/>
          <w:u w:val="single"/>
          <w:lang w:val="en"/>
        </w:rPr>
        <w:t>both</w:t>
      </w:r>
      <w:r w:rsidRPr="002741AE">
        <w:rPr>
          <w:rFonts w:ascii="Arial" w:hAnsi="Arial" w:cs="Calibri"/>
          <w:lang w:val="en"/>
        </w:rPr>
        <w:t xml:space="preserve"> of the following circumstances apply:</w:t>
      </w:r>
    </w:p>
    <w:p w14:paraId="7D845F4D" w14:textId="77777777" w:rsidR="002741AE" w:rsidRPr="002741AE" w:rsidRDefault="002741AE" w:rsidP="002741AE">
      <w:pPr>
        <w:spacing w:before="240"/>
        <w:rPr>
          <w:rFonts w:ascii="Arial" w:hAnsi="Arial" w:cs="Calibri"/>
          <w:lang w:val="en"/>
        </w:rPr>
      </w:pPr>
      <w:r w:rsidRPr="002741AE">
        <w:rPr>
          <w:rFonts w:ascii="Arial" w:hAnsi="Arial" w:cs="Calibri"/>
          <w:lang w:val="en"/>
        </w:rPr>
        <w:lastRenderedPageBreak/>
        <w:t>(1) The employee has tested positive for or was diagnosed with COVID-19 within 14 days after a day that the employee performed labor or services at the employee’s place of employment at the employer’s direction, and:</w:t>
      </w:r>
    </w:p>
    <w:p w14:paraId="5A48FF9D" w14:textId="77777777" w:rsidR="002741AE" w:rsidRPr="002741AE" w:rsidRDefault="002741AE" w:rsidP="002741AE">
      <w:pPr>
        <w:spacing w:before="240"/>
        <w:rPr>
          <w:rFonts w:ascii="Arial" w:hAnsi="Arial" w:cs="Calibri"/>
          <w:lang w:val="en"/>
        </w:rPr>
      </w:pPr>
      <w:r w:rsidRPr="002741AE">
        <w:rPr>
          <w:rFonts w:ascii="Arial" w:hAnsi="Arial" w:cs="Calibri"/>
          <w:lang w:val="en"/>
        </w:rPr>
        <w:t>(2) The day referenced in paragraph (1) on which the employee performed labor or services at the employee’s place of employment at the employer’s direction was on or after March 19, 2020, and on or before July 5, 2020. The date of injury shall be the last date the employee performed labor or services at the employee’s place of employment at the employer’s direction. (3) If paragraph (1) (above) is satisfied through a diagnosis of COVID-19, the diagnosis was done by a licensed physician and surgeon holding an M.D. or D.O. degree or state licensed physician assistant or nurse practitioner, acting under the review or supervision of a physician and surgeon pursuant to standardized procedures or protocols within their lawfully authorized scope of practice, and that diagnosis is confirmed by testing or by a COVID-19 serologic test within 30 days of the date of the diagnosis.</w:t>
      </w:r>
    </w:p>
    <w:p w14:paraId="3D830094" w14:textId="77777777" w:rsidR="002741AE" w:rsidRPr="002741AE" w:rsidRDefault="002741AE" w:rsidP="002741AE">
      <w:pPr>
        <w:spacing w:before="240"/>
        <w:rPr>
          <w:rFonts w:ascii="Arial" w:hAnsi="Arial" w:cs="Calibri"/>
          <w:lang w:val="en"/>
        </w:rPr>
      </w:pPr>
      <w:r w:rsidRPr="002741AE">
        <w:rPr>
          <w:rFonts w:ascii="Arial" w:hAnsi="Arial" w:cs="Calibri"/>
          <w:b/>
          <w:u w:val="single"/>
          <w:lang w:val="en"/>
        </w:rPr>
        <w:t>Paid sick leave</w:t>
      </w:r>
      <w:r w:rsidRPr="002741AE">
        <w:rPr>
          <w:rFonts w:ascii="Arial" w:hAnsi="Arial" w:cs="Calibri"/>
          <w:lang w:val="en"/>
        </w:rPr>
        <w:t xml:space="preserve">:  Addresses when an employee </w:t>
      </w:r>
      <w:r w:rsidRPr="002741AE">
        <w:rPr>
          <w:rFonts w:ascii="Arial" w:hAnsi="Arial" w:cs="Calibri"/>
          <w:i/>
          <w:u w:val="single"/>
          <w:lang w:val="en"/>
        </w:rPr>
        <w:t>has paid sick leave benefits specifically available in response to COVID-19</w:t>
      </w:r>
      <w:r w:rsidRPr="002741AE">
        <w:rPr>
          <w:rFonts w:ascii="Arial" w:hAnsi="Arial" w:cs="Calibri"/>
          <w:lang w:val="en"/>
        </w:rPr>
        <w:t xml:space="preserve">, noting those benefits shall be used and exhausted before any temporary disability benefits or benefits under Section 4800, 4800.5, or 4850 are due and payable. </w:t>
      </w:r>
    </w:p>
    <w:p w14:paraId="65B9FFBC" w14:textId="77777777" w:rsidR="002741AE" w:rsidRPr="002741AE" w:rsidRDefault="002741AE" w:rsidP="002741AE">
      <w:pPr>
        <w:spacing w:before="240"/>
        <w:rPr>
          <w:rFonts w:ascii="Arial" w:hAnsi="Arial" w:cs="Calibri"/>
          <w:lang w:val="en"/>
        </w:rPr>
      </w:pPr>
      <w:r w:rsidRPr="002741AE">
        <w:rPr>
          <w:rFonts w:ascii="Arial" w:hAnsi="Arial" w:cs="Calibri"/>
          <w:lang w:val="en"/>
        </w:rPr>
        <w:t xml:space="preserve">--If an employee does </w:t>
      </w:r>
      <w:r w:rsidRPr="002741AE">
        <w:rPr>
          <w:rFonts w:ascii="Arial" w:hAnsi="Arial" w:cs="Calibri"/>
          <w:i/>
          <w:lang w:val="en"/>
        </w:rPr>
        <w:t>not</w:t>
      </w:r>
      <w:r w:rsidRPr="002741AE">
        <w:rPr>
          <w:rFonts w:ascii="Arial" w:hAnsi="Arial" w:cs="Calibri"/>
          <w:lang w:val="en"/>
        </w:rPr>
        <w:t xml:space="preserve"> have those sick leave benefits, the employee shall be provided temporary disability benefits or Section 4800, 4800.5, or 4850 benefits, if applicable, from the date of disability. Dispenses with waiting period for temporary disability benefits.</w:t>
      </w:r>
    </w:p>
    <w:p w14:paraId="2B94C490" w14:textId="77777777" w:rsidR="002741AE" w:rsidRPr="002741AE" w:rsidRDefault="002741AE" w:rsidP="002741AE">
      <w:pPr>
        <w:spacing w:before="240"/>
        <w:rPr>
          <w:rFonts w:ascii="Arial" w:hAnsi="Arial" w:cs="Calibri"/>
          <w:lang w:val="en"/>
        </w:rPr>
      </w:pPr>
      <w:r w:rsidRPr="002741AE">
        <w:rPr>
          <w:rFonts w:ascii="Arial" w:hAnsi="Arial" w:cs="Calibri"/>
          <w:b/>
          <w:u w:val="single"/>
          <w:lang w:val="en"/>
        </w:rPr>
        <w:t>Temporary Disability</w:t>
      </w:r>
      <w:r w:rsidRPr="002741AE">
        <w:rPr>
          <w:rFonts w:ascii="Arial" w:hAnsi="Arial" w:cs="Calibri"/>
          <w:lang w:val="en"/>
        </w:rPr>
        <w:t>: Addresses qualifications for temporary disability or Section 4800, 4800.5, or 4850 benefits under this section, noting an employee shall satisfy either of the following:</w:t>
      </w:r>
    </w:p>
    <w:p w14:paraId="0545860F" w14:textId="77777777" w:rsidR="002741AE" w:rsidRPr="002741AE" w:rsidRDefault="002741AE" w:rsidP="002741AE">
      <w:pPr>
        <w:spacing w:before="240"/>
        <w:rPr>
          <w:rFonts w:ascii="Arial" w:hAnsi="Arial" w:cs="Calibri"/>
          <w:lang w:val="en"/>
        </w:rPr>
      </w:pPr>
      <w:r w:rsidRPr="002741AE">
        <w:rPr>
          <w:rFonts w:ascii="Arial" w:hAnsi="Arial" w:cs="Calibri"/>
          <w:lang w:val="en"/>
        </w:rPr>
        <w:t>----(A) If the employee has tested positive or is diagnosed with COVID-19 on or after May 6, 2020, the employee shall be certified for temporary disability within the first 15 days after the initial diagnosis and shall be recertified for temporary disability every 15 days thereafter, for the first 45 days following diagnosis.</w:t>
      </w:r>
    </w:p>
    <w:p w14:paraId="57349456" w14:textId="77777777" w:rsidR="002741AE" w:rsidRPr="002741AE" w:rsidRDefault="002741AE" w:rsidP="002741AE">
      <w:pPr>
        <w:spacing w:before="240"/>
        <w:rPr>
          <w:rFonts w:ascii="Arial" w:hAnsi="Arial" w:cs="Calibri"/>
          <w:lang w:val="en"/>
        </w:rPr>
      </w:pPr>
      <w:r w:rsidRPr="002741AE">
        <w:rPr>
          <w:rFonts w:ascii="Arial" w:hAnsi="Arial" w:cs="Calibri"/>
          <w:lang w:val="en"/>
        </w:rPr>
        <w:t>----(B) If the employee has tested positive or was diagnosed with COVID-19 before May 6, 2020, the employee shall have obtained a certification, no later than May 21, 2020, documenting the period for which the employee was temporarily disabled and unable to work, and shall be recertified for temporary disability every 15 days thereafter, for the first 45 days following diagnosis.</w:t>
      </w:r>
    </w:p>
    <w:p w14:paraId="172B8B80" w14:textId="77777777" w:rsidR="002741AE" w:rsidRPr="002741AE" w:rsidRDefault="002741AE" w:rsidP="002741AE">
      <w:pPr>
        <w:spacing w:before="240"/>
        <w:rPr>
          <w:rFonts w:ascii="Arial" w:hAnsi="Arial" w:cs="Calibri"/>
          <w:lang w:val="en"/>
        </w:rPr>
      </w:pPr>
      <w:r w:rsidRPr="002741AE">
        <w:rPr>
          <w:rFonts w:ascii="Arial" w:hAnsi="Arial" w:cs="Calibri"/>
          <w:lang w:val="en"/>
        </w:rPr>
        <w:lastRenderedPageBreak/>
        <w:t>----Further, this section notes that an employee shall be certified for temporary disability by a physician holding a California physician’s and surgeon’s license. (Also, if the employee has a pre-designated physician pursuant to subdivision (d) of Section 4600, is covered by a medical provider network pursuant to Article 2.3 (commencing with Section 4616) of Chapter 2 of Part 2, is covered by a workers’ compensation health care organization pursuant to Article 2 (commencing with Section 4600) of Chapter 2 of Part 2, or is covered by a group health plan, the certifying physician shall be a physician and surgeon in that network, organization, or plan. Otherwise, the certifying physician may be a physician and surgeon of the employee’s choosing.</w:t>
      </w:r>
    </w:p>
    <w:p w14:paraId="7C936252" w14:textId="77777777" w:rsidR="002741AE" w:rsidRPr="002741AE" w:rsidRDefault="002741AE" w:rsidP="002741AE">
      <w:pPr>
        <w:spacing w:before="240"/>
        <w:rPr>
          <w:rFonts w:ascii="Arial" w:hAnsi="Arial" w:cs="Calibri"/>
          <w:lang w:val="en"/>
        </w:rPr>
      </w:pPr>
      <w:r w:rsidRPr="002741AE">
        <w:rPr>
          <w:rFonts w:ascii="Arial" w:hAnsi="Arial" w:cs="Calibri"/>
          <w:b/>
          <w:u w:val="single"/>
          <w:lang w:val="en"/>
        </w:rPr>
        <w:t>Presumption; Rebuttable</w:t>
      </w:r>
      <w:r w:rsidRPr="002741AE">
        <w:rPr>
          <w:rFonts w:ascii="Arial" w:hAnsi="Arial" w:cs="Calibri"/>
          <w:lang w:val="en"/>
        </w:rPr>
        <w:t xml:space="preserve">: Notes an injury described in this section is presumed to arise out of and in the course of the employment but is disputable and may be controverted by other evidence. </w:t>
      </w:r>
    </w:p>
    <w:p w14:paraId="3D2FE62A" w14:textId="77777777" w:rsidR="002741AE" w:rsidRPr="002741AE" w:rsidRDefault="002741AE" w:rsidP="002741AE">
      <w:pPr>
        <w:spacing w:before="240"/>
        <w:rPr>
          <w:rFonts w:ascii="Arial" w:hAnsi="Arial" w:cs="Calibri"/>
          <w:lang w:val="en"/>
        </w:rPr>
      </w:pPr>
      <w:r w:rsidRPr="002741AE">
        <w:rPr>
          <w:rFonts w:ascii="Arial" w:hAnsi="Arial" w:cs="Calibri"/>
          <w:b/>
          <w:u w:val="single"/>
          <w:lang w:val="en"/>
        </w:rPr>
        <w:t>Failure to Reject within 30 days</w:t>
      </w:r>
      <w:r w:rsidRPr="002741AE">
        <w:rPr>
          <w:rFonts w:ascii="Arial" w:hAnsi="Arial" w:cs="Calibri"/>
          <w:b/>
          <w:lang w:val="en"/>
        </w:rPr>
        <w:t xml:space="preserve">: </w:t>
      </w:r>
      <w:r w:rsidRPr="002741AE">
        <w:rPr>
          <w:rFonts w:ascii="Arial" w:hAnsi="Arial" w:cs="Calibri"/>
          <w:lang w:val="en"/>
        </w:rPr>
        <w:t>Generally,</w:t>
      </w:r>
      <w:r w:rsidRPr="002741AE">
        <w:rPr>
          <w:rFonts w:ascii="Arial" w:hAnsi="Arial" w:cs="Calibri"/>
          <w:b/>
          <w:lang w:val="en"/>
        </w:rPr>
        <w:t xml:space="preserve"> </w:t>
      </w:r>
      <w:r w:rsidRPr="002741AE">
        <w:rPr>
          <w:rFonts w:ascii="Arial" w:hAnsi="Arial" w:cs="Calibri"/>
          <w:lang w:val="en"/>
        </w:rPr>
        <w:t xml:space="preserve">if liability for a claim of a COVID-19-related illness </w:t>
      </w:r>
      <w:r w:rsidRPr="002741AE">
        <w:rPr>
          <w:rFonts w:ascii="Arial" w:hAnsi="Arial" w:cs="Calibri"/>
          <w:i/>
          <w:lang w:val="en"/>
        </w:rPr>
        <w:t>is not rejected within 30 days after the date the claim form is filed pursuant to Section 5401</w:t>
      </w:r>
      <w:r w:rsidRPr="002741AE">
        <w:rPr>
          <w:rFonts w:ascii="Arial" w:hAnsi="Arial" w:cs="Calibri"/>
          <w:lang w:val="en"/>
        </w:rPr>
        <w:t xml:space="preserve">, the illness will be presumed compensable. The presumption of this subdivision is rebuttable only by evidence discovered </w:t>
      </w:r>
      <w:proofErr w:type="gramStart"/>
      <w:r w:rsidRPr="002741AE">
        <w:rPr>
          <w:rFonts w:ascii="Arial" w:hAnsi="Arial" w:cs="Calibri"/>
          <w:lang w:val="en"/>
        </w:rPr>
        <w:t>subsequent to</w:t>
      </w:r>
      <w:proofErr w:type="gramEnd"/>
      <w:r w:rsidRPr="002741AE">
        <w:rPr>
          <w:rFonts w:ascii="Arial" w:hAnsi="Arial" w:cs="Calibri"/>
          <w:lang w:val="en"/>
        </w:rPr>
        <w:t xml:space="preserve"> the 30-day period.</w:t>
      </w:r>
    </w:p>
    <w:p w14:paraId="719DB531" w14:textId="77777777" w:rsidR="002741AE" w:rsidRPr="002741AE" w:rsidRDefault="002741AE" w:rsidP="002741AE">
      <w:pPr>
        <w:spacing w:before="240"/>
        <w:rPr>
          <w:rFonts w:ascii="Arial" w:hAnsi="Arial" w:cs="Calibri"/>
          <w:lang w:val="en"/>
        </w:rPr>
      </w:pPr>
      <w:r w:rsidRPr="002741AE">
        <w:rPr>
          <w:rFonts w:ascii="Arial" w:hAnsi="Arial" w:cs="Calibri"/>
          <w:b/>
          <w:u w:val="single"/>
          <w:lang w:val="en"/>
        </w:rPr>
        <w:t>Executive Order</w:t>
      </w:r>
      <w:r w:rsidRPr="002741AE">
        <w:rPr>
          <w:rFonts w:ascii="Arial" w:hAnsi="Arial" w:cs="Calibri"/>
          <w:b/>
          <w:lang w:val="en"/>
        </w:rPr>
        <w:t xml:space="preserve">: </w:t>
      </w:r>
      <w:r w:rsidRPr="002741AE">
        <w:rPr>
          <w:rFonts w:ascii="Arial" w:hAnsi="Arial" w:cs="Calibri"/>
          <w:lang w:val="en"/>
        </w:rPr>
        <w:t>Notes that this section applies to all pending matters except as otherwise specified, including, but not limited to, pending claims relying on Executive Order N-62-20; and that this section is not a basis to rescind, alter, amend, or reopen any final award of workers’ compensation benefits.</w:t>
      </w:r>
    </w:p>
    <w:p w14:paraId="4A3D1422" w14:textId="77777777" w:rsidR="002741AE" w:rsidRPr="002741AE" w:rsidRDefault="002741AE" w:rsidP="002741AE">
      <w:pPr>
        <w:spacing w:before="240"/>
        <w:rPr>
          <w:rFonts w:ascii="Arial" w:hAnsi="Arial" w:cs="Calibri"/>
          <w:lang w:val="en"/>
        </w:rPr>
      </w:pPr>
      <w:r w:rsidRPr="002741AE">
        <w:rPr>
          <w:rFonts w:ascii="Arial" w:hAnsi="Arial" w:cs="Calibri"/>
          <w:b/>
          <w:u w:val="single"/>
          <w:lang w:val="en"/>
        </w:rPr>
        <w:t xml:space="preserve">Definition: </w:t>
      </w:r>
      <w:r w:rsidRPr="002741AE">
        <w:rPr>
          <w:rFonts w:ascii="Arial" w:hAnsi="Arial" w:cs="Calibri"/>
          <w:b/>
          <w:lang w:val="en"/>
        </w:rPr>
        <w:t xml:space="preserve">“Place of employment”: </w:t>
      </w:r>
      <w:r w:rsidRPr="002741AE">
        <w:rPr>
          <w:rFonts w:ascii="Arial" w:hAnsi="Arial" w:cs="Calibri"/>
          <w:lang w:val="en"/>
        </w:rPr>
        <w:t>For this section does not include an employee’s residence.</w:t>
      </w:r>
    </w:p>
    <w:p w14:paraId="243A3598" w14:textId="77777777" w:rsidR="002741AE" w:rsidRPr="002741AE" w:rsidRDefault="002741AE" w:rsidP="002741AE">
      <w:pPr>
        <w:spacing w:before="240"/>
        <w:rPr>
          <w:rFonts w:ascii="Arial" w:hAnsi="Arial" w:cs="Calibri"/>
          <w:lang w:val="en"/>
        </w:rPr>
      </w:pPr>
      <w:r w:rsidRPr="002741AE">
        <w:rPr>
          <w:rFonts w:ascii="Arial" w:hAnsi="Arial" w:cs="Calibri"/>
          <w:b/>
          <w:bCs/>
          <w:lang w:val="en"/>
        </w:rPr>
        <w:t xml:space="preserve">SECTION 3: </w:t>
      </w:r>
      <w:r w:rsidRPr="002741AE">
        <w:rPr>
          <w:rFonts w:ascii="Arial" w:hAnsi="Arial" w:cs="Calibri"/>
          <w:lang w:val="en"/>
        </w:rPr>
        <w:t>Section 3212.87 is added to the Labor Code, which addresses:</w:t>
      </w:r>
    </w:p>
    <w:p w14:paraId="6826C881" w14:textId="77777777" w:rsidR="002741AE" w:rsidRPr="002741AE" w:rsidRDefault="002741AE" w:rsidP="002741AE">
      <w:pPr>
        <w:spacing w:before="240"/>
        <w:rPr>
          <w:rFonts w:ascii="Arial" w:hAnsi="Arial" w:cs="Calibri"/>
          <w:lang w:val="en"/>
        </w:rPr>
      </w:pPr>
      <w:r w:rsidRPr="002741AE">
        <w:rPr>
          <w:rFonts w:ascii="Arial" w:hAnsi="Arial" w:cs="Calibri"/>
          <w:u w:val="single"/>
          <w:lang w:val="en"/>
        </w:rPr>
        <w:t xml:space="preserve"> Applicability to the following employees</w:t>
      </w:r>
      <w:r w:rsidRPr="002741AE">
        <w:rPr>
          <w:rFonts w:ascii="Arial" w:hAnsi="Arial" w:cs="Calibri"/>
          <w:lang w:val="en"/>
        </w:rPr>
        <w:t>:</w:t>
      </w:r>
    </w:p>
    <w:p w14:paraId="32E6F739" w14:textId="77777777" w:rsidR="002741AE" w:rsidRPr="002741AE" w:rsidRDefault="002741AE" w:rsidP="002741AE">
      <w:pPr>
        <w:spacing w:before="240"/>
        <w:rPr>
          <w:rFonts w:ascii="Arial" w:hAnsi="Arial" w:cs="Calibri"/>
          <w:lang w:val="en"/>
        </w:rPr>
      </w:pPr>
      <w:r w:rsidRPr="002741AE">
        <w:rPr>
          <w:rFonts w:ascii="Arial" w:hAnsi="Arial" w:cs="Calibri"/>
          <w:lang w:val="en"/>
        </w:rPr>
        <w:t xml:space="preserve">(1) Active firefighting members, whether volunteers, partly paid, or fully paid, of </w:t>
      </w:r>
      <w:proofErr w:type="gramStart"/>
      <w:r w:rsidRPr="002741AE">
        <w:rPr>
          <w:rFonts w:ascii="Arial" w:hAnsi="Arial" w:cs="Calibri"/>
          <w:lang w:val="en"/>
        </w:rPr>
        <w:t>all of</w:t>
      </w:r>
      <w:proofErr w:type="gramEnd"/>
      <w:r w:rsidRPr="002741AE">
        <w:rPr>
          <w:rFonts w:ascii="Arial" w:hAnsi="Arial" w:cs="Calibri"/>
          <w:lang w:val="en"/>
        </w:rPr>
        <w:t xml:space="preserve"> the following fire departments:</w:t>
      </w:r>
    </w:p>
    <w:p w14:paraId="61A710EF" w14:textId="77777777" w:rsidR="002741AE" w:rsidRPr="002741AE" w:rsidRDefault="002741AE" w:rsidP="002741AE">
      <w:pPr>
        <w:spacing w:before="240"/>
        <w:rPr>
          <w:rFonts w:ascii="Arial" w:hAnsi="Arial" w:cs="Calibri"/>
          <w:lang w:val="en"/>
        </w:rPr>
      </w:pPr>
      <w:r w:rsidRPr="002741AE">
        <w:rPr>
          <w:rFonts w:ascii="Arial" w:hAnsi="Arial" w:cs="Calibri"/>
          <w:lang w:val="en"/>
        </w:rPr>
        <w:t>(A) A fire department of a city, county, city and county, district, or other public or municipal corporation or political subdivision.</w:t>
      </w:r>
    </w:p>
    <w:p w14:paraId="614188C0" w14:textId="77777777" w:rsidR="002741AE" w:rsidRPr="002741AE" w:rsidRDefault="002741AE" w:rsidP="002741AE">
      <w:pPr>
        <w:spacing w:before="240"/>
        <w:rPr>
          <w:rFonts w:ascii="Arial" w:hAnsi="Arial" w:cs="Calibri"/>
          <w:lang w:val="en"/>
        </w:rPr>
      </w:pPr>
      <w:r w:rsidRPr="002741AE">
        <w:rPr>
          <w:rFonts w:ascii="Arial" w:hAnsi="Arial" w:cs="Calibri"/>
          <w:lang w:val="en"/>
        </w:rPr>
        <w:t>(B) A fire department of the University of California and the California State University.</w:t>
      </w:r>
    </w:p>
    <w:p w14:paraId="2A28051E" w14:textId="77777777" w:rsidR="002741AE" w:rsidRPr="002741AE" w:rsidRDefault="002741AE" w:rsidP="002741AE">
      <w:pPr>
        <w:spacing w:before="240"/>
        <w:rPr>
          <w:rFonts w:ascii="Arial" w:hAnsi="Arial" w:cs="Calibri"/>
          <w:lang w:val="en"/>
        </w:rPr>
      </w:pPr>
      <w:r w:rsidRPr="002741AE">
        <w:rPr>
          <w:rFonts w:ascii="Arial" w:hAnsi="Arial" w:cs="Calibri"/>
          <w:lang w:val="en"/>
        </w:rPr>
        <w:t>(C) The Department of Forestry and Fire Protection.</w:t>
      </w:r>
    </w:p>
    <w:p w14:paraId="5C5921CB" w14:textId="77777777" w:rsidR="002741AE" w:rsidRPr="002741AE" w:rsidRDefault="002741AE" w:rsidP="002741AE">
      <w:pPr>
        <w:spacing w:before="240"/>
        <w:rPr>
          <w:rFonts w:ascii="Arial" w:hAnsi="Arial" w:cs="Calibri"/>
          <w:lang w:val="en"/>
        </w:rPr>
      </w:pPr>
      <w:r w:rsidRPr="002741AE">
        <w:rPr>
          <w:rFonts w:ascii="Arial" w:hAnsi="Arial" w:cs="Calibri"/>
          <w:lang w:val="en"/>
        </w:rPr>
        <w:t>(D) A county forestry or firefighting department or unit.</w:t>
      </w:r>
    </w:p>
    <w:p w14:paraId="6272570A" w14:textId="77777777" w:rsidR="002741AE" w:rsidRPr="002741AE" w:rsidRDefault="002741AE" w:rsidP="002741AE">
      <w:pPr>
        <w:spacing w:before="240"/>
        <w:rPr>
          <w:rFonts w:ascii="Arial" w:hAnsi="Arial" w:cs="Calibri"/>
        </w:rPr>
      </w:pPr>
      <w:r w:rsidRPr="002741AE">
        <w:rPr>
          <w:rFonts w:ascii="Arial" w:hAnsi="Arial" w:cs="Calibri"/>
        </w:rPr>
        <w:lastRenderedPageBreak/>
        <w:t>(E)</w:t>
      </w:r>
      <w:r w:rsidRPr="002741AE">
        <w:rPr>
          <w:rFonts w:ascii="Arial" w:hAnsi="Arial" w:cs="Calibri" w:hint="eastAsia"/>
        </w:rPr>
        <w:t> </w:t>
      </w:r>
      <w:r w:rsidRPr="002741AE">
        <w:rPr>
          <w:rFonts w:ascii="Arial" w:hAnsi="Arial" w:cs="Calibri"/>
        </w:rPr>
        <w:t>The State Department of State Hospitals.</w:t>
      </w:r>
    </w:p>
    <w:p w14:paraId="578202DB" w14:textId="77777777" w:rsidR="002741AE" w:rsidRPr="002741AE" w:rsidRDefault="002741AE" w:rsidP="002741AE">
      <w:pPr>
        <w:spacing w:before="240"/>
        <w:rPr>
          <w:rFonts w:ascii="Arial" w:hAnsi="Arial" w:cs="Calibri"/>
        </w:rPr>
      </w:pPr>
      <w:r w:rsidRPr="002741AE">
        <w:rPr>
          <w:rFonts w:ascii="Arial" w:hAnsi="Arial" w:cs="Calibri"/>
        </w:rPr>
        <w:t>(F)</w:t>
      </w:r>
      <w:r w:rsidRPr="002741AE">
        <w:rPr>
          <w:rFonts w:ascii="Arial" w:hAnsi="Arial" w:cs="Calibri" w:hint="eastAsia"/>
        </w:rPr>
        <w:t> </w:t>
      </w:r>
      <w:r w:rsidRPr="002741AE">
        <w:rPr>
          <w:rFonts w:ascii="Arial" w:hAnsi="Arial" w:cs="Calibri"/>
        </w:rPr>
        <w:t>The State Department of Developmental Services.</w:t>
      </w:r>
    </w:p>
    <w:p w14:paraId="31B47ECD" w14:textId="77777777" w:rsidR="002741AE" w:rsidRPr="002741AE" w:rsidRDefault="002741AE" w:rsidP="002741AE">
      <w:pPr>
        <w:spacing w:before="240"/>
        <w:rPr>
          <w:rFonts w:ascii="Arial" w:hAnsi="Arial" w:cs="Calibri"/>
        </w:rPr>
      </w:pPr>
      <w:r w:rsidRPr="002741AE">
        <w:rPr>
          <w:rFonts w:ascii="Arial" w:hAnsi="Arial" w:cs="Calibri"/>
        </w:rPr>
        <w:t>(G)</w:t>
      </w:r>
      <w:r w:rsidRPr="002741AE">
        <w:rPr>
          <w:rFonts w:ascii="Arial" w:hAnsi="Arial" w:cs="Calibri" w:hint="eastAsia"/>
        </w:rPr>
        <w:t> </w:t>
      </w:r>
      <w:r w:rsidRPr="002741AE">
        <w:rPr>
          <w:rFonts w:ascii="Arial" w:hAnsi="Arial" w:cs="Calibri"/>
        </w:rPr>
        <w:t>The Military Department.</w:t>
      </w:r>
    </w:p>
    <w:p w14:paraId="74713FE2" w14:textId="77777777" w:rsidR="002741AE" w:rsidRPr="002741AE" w:rsidRDefault="002741AE" w:rsidP="002741AE">
      <w:pPr>
        <w:spacing w:before="240"/>
        <w:rPr>
          <w:rFonts w:ascii="Arial" w:hAnsi="Arial" w:cs="Calibri"/>
        </w:rPr>
      </w:pPr>
      <w:r w:rsidRPr="002741AE">
        <w:rPr>
          <w:rFonts w:ascii="Arial" w:hAnsi="Arial" w:cs="Calibri"/>
        </w:rPr>
        <w:t>(H)</w:t>
      </w:r>
      <w:r w:rsidRPr="002741AE">
        <w:rPr>
          <w:rFonts w:ascii="Arial" w:hAnsi="Arial" w:cs="Calibri" w:hint="eastAsia"/>
        </w:rPr>
        <w:t> </w:t>
      </w:r>
      <w:r w:rsidRPr="002741AE">
        <w:rPr>
          <w:rFonts w:ascii="Arial" w:hAnsi="Arial" w:cs="Calibri"/>
        </w:rPr>
        <w:t>The Department of Veterans Affairs.  {Note: E, F, G, H were added in a 2022 legislative update}</w:t>
      </w:r>
    </w:p>
    <w:p w14:paraId="37ACB0E5" w14:textId="77777777" w:rsidR="002741AE" w:rsidRPr="002741AE" w:rsidRDefault="002741AE" w:rsidP="002741AE">
      <w:pPr>
        <w:spacing w:before="240"/>
        <w:rPr>
          <w:rFonts w:ascii="Arial" w:hAnsi="Arial" w:cs="Calibri"/>
          <w:lang w:val="en"/>
        </w:rPr>
      </w:pPr>
      <w:r w:rsidRPr="002741AE">
        <w:rPr>
          <w:rFonts w:ascii="Arial" w:hAnsi="Arial" w:cs="Calibri"/>
          <w:lang w:val="en"/>
        </w:rPr>
        <w:t>(2) Active firefighting members of a fire department that serves a United States DOD installation and who are certified by the United States DOD as meeting its standards for firefighters.</w:t>
      </w:r>
    </w:p>
    <w:p w14:paraId="770B1B54" w14:textId="77777777" w:rsidR="002741AE" w:rsidRPr="002741AE" w:rsidRDefault="002741AE" w:rsidP="002741AE">
      <w:pPr>
        <w:spacing w:before="240"/>
        <w:rPr>
          <w:rFonts w:ascii="Arial" w:hAnsi="Arial" w:cs="Calibri"/>
          <w:lang w:val="en"/>
        </w:rPr>
      </w:pPr>
      <w:r w:rsidRPr="002741AE">
        <w:rPr>
          <w:rFonts w:ascii="Arial" w:hAnsi="Arial" w:cs="Calibri"/>
          <w:lang w:val="en"/>
        </w:rPr>
        <w:t>(3) Active firefighting members of a fire department that serves a NASA installation and who adhere to training standards established in accordance with Article 4 (commencing with Section 13155) of Chapter 1 of Part 2 of Division 12 of the Health and Safety Code.</w:t>
      </w:r>
    </w:p>
    <w:p w14:paraId="00245311" w14:textId="77777777" w:rsidR="002741AE" w:rsidRPr="002741AE" w:rsidRDefault="002741AE" w:rsidP="002741AE">
      <w:pPr>
        <w:spacing w:before="240"/>
        <w:rPr>
          <w:rFonts w:ascii="Arial" w:hAnsi="Arial" w:cs="Calibri"/>
          <w:lang w:val="en"/>
        </w:rPr>
      </w:pPr>
      <w:r w:rsidRPr="002741AE">
        <w:rPr>
          <w:rFonts w:ascii="Arial" w:hAnsi="Arial" w:cs="Calibri"/>
          <w:lang w:val="en"/>
        </w:rPr>
        <w:t xml:space="preserve">(4) Active firefighting members of a fire department that provides fire protection to a commercial airport regulated by the FAA under Part 139 (commencing with Section 139.5) of Subchapter G of Chapter 1 of Title 14 of the Federal Code of Regulations and are trained and certified by the State Fire Marshal as meeting the standards of Fire Control 5 and Section 139.319 of Title 14 of the Federal Code of Regulations </w:t>
      </w:r>
    </w:p>
    <w:p w14:paraId="0C9355DF" w14:textId="77777777" w:rsidR="002741AE" w:rsidRPr="002741AE" w:rsidRDefault="002741AE" w:rsidP="002741AE">
      <w:pPr>
        <w:spacing w:before="240"/>
        <w:rPr>
          <w:rFonts w:ascii="Arial" w:hAnsi="Arial" w:cs="Calibri"/>
          <w:lang w:val="en"/>
        </w:rPr>
      </w:pPr>
      <w:r w:rsidRPr="002741AE">
        <w:rPr>
          <w:rFonts w:ascii="Arial" w:hAnsi="Arial" w:cs="Calibri"/>
          <w:lang w:val="en"/>
        </w:rPr>
        <w:t xml:space="preserve">(5) Peace officers, as defined in Section 830.1 of the Penal Code, subdivisions (a), (b), (e), (f), and (h) of Section 830.2 of the Penal Code, subdivision (a) of Section 830.3 of the Penal Code, subdivisions (a) and (b) of Section 830.37 of the Penal Code, </w:t>
      </w:r>
      <w:r w:rsidRPr="002741AE">
        <w:rPr>
          <w:rFonts w:ascii="Arial" w:hAnsi="Arial" w:cs="Calibri"/>
        </w:rPr>
        <w:t xml:space="preserve">Section 830.38 of the Penal Code {Note: this added </w:t>
      </w:r>
      <w:r w:rsidRPr="002741AE">
        <w:rPr>
          <w:rFonts w:ascii="Arial" w:hAnsi="Arial" w:cs="Calibri"/>
          <w:lang w:val="en"/>
        </w:rPr>
        <w:t>in 2022 legislative update}</w:t>
      </w:r>
      <w:r w:rsidRPr="002741AE">
        <w:rPr>
          <w:rFonts w:ascii="Arial" w:hAnsi="Arial" w:cs="Calibri"/>
        </w:rPr>
        <w:t xml:space="preserve">, </w:t>
      </w:r>
      <w:r w:rsidRPr="002741AE">
        <w:rPr>
          <w:rFonts w:ascii="Arial" w:hAnsi="Arial" w:cs="Calibri"/>
          <w:lang w:val="en"/>
        </w:rPr>
        <w:t>subdivisions (a) and (b) of Section 830.5 of the Penal Code, and subdivision (a) of Section 830.53 of the Penal Code, who are primarily engaged in active law enforcement activities.</w:t>
      </w:r>
    </w:p>
    <w:p w14:paraId="0B520350" w14:textId="77777777" w:rsidR="002741AE" w:rsidRPr="002741AE" w:rsidRDefault="002741AE" w:rsidP="002741AE">
      <w:pPr>
        <w:spacing w:before="240"/>
        <w:rPr>
          <w:rFonts w:ascii="Arial" w:hAnsi="Arial" w:cs="Calibri"/>
          <w:lang w:val="en"/>
        </w:rPr>
      </w:pPr>
      <w:r w:rsidRPr="002741AE">
        <w:rPr>
          <w:rFonts w:ascii="Arial" w:hAnsi="Arial" w:cs="Calibri"/>
          <w:lang w:val="en"/>
        </w:rPr>
        <w:t>(6) (A) Fire and rescue services coordinators who work for the Office of Emergency Services.</w:t>
      </w:r>
    </w:p>
    <w:p w14:paraId="6455D7DD" w14:textId="77777777" w:rsidR="002741AE" w:rsidRPr="002741AE" w:rsidRDefault="002741AE" w:rsidP="002741AE">
      <w:pPr>
        <w:spacing w:before="240"/>
        <w:rPr>
          <w:rFonts w:ascii="Arial" w:hAnsi="Arial" w:cs="Calibri"/>
          <w:lang w:val="en"/>
        </w:rPr>
      </w:pPr>
      <w:r w:rsidRPr="002741AE">
        <w:rPr>
          <w:rFonts w:ascii="Arial" w:hAnsi="Arial" w:cs="Calibri"/>
          <w:lang w:val="en"/>
        </w:rPr>
        <w:t xml:space="preserve">(B) For purposes of this paragraph, “fire and rescue services coordinators” means coordinators with any of the following job classifications: coordinator, senior coordinator, or chief coordinator. </w:t>
      </w:r>
    </w:p>
    <w:p w14:paraId="4C4712A1" w14:textId="77777777" w:rsidR="002741AE" w:rsidRPr="002741AE" w:rsidRDefault="002741AE" w:rsidP="002741AE">
      <w:pPr>
        <w:spacing w:before="240"/>
        <w:rPr>
          <w:rFonts w:ascii="Arial" w:hAnsi="Arial" w:cs="Calibri"/>
          <w:lang w:val="en"/>
        </w:rPr>
      </w:pPr>
      <w:r w:rsidRPr="002741AE">
        <w:rPr>
          <w:rFonts w:ascii="Arial" w:hAnsi="Arial" w:cs="Calibri"/>
          <w:lang w:val="en"/>
        </w:rPr>
        <w:t>(7) An employee who provides direct patient care, or a custodial employee in contact with COVID-19 patients, who works at a health facility. For the purposes of this subdivision, “health facility” means a health facility as defined in subdivision (a), (b), (c), (m), or (n) of Section 1250 of the Health and Safety Code*.</w:t>
      </w:r>
    </w:p>
    <w:p w14:paraId="5DA27929" w14:textId="77777777" w:rsidR="002741AE" w:rsidRPr="002741AE" w:rsidRDefault="002741AE" w:rsidP="002741AE">
      <w:pPr>
        <w:spacing w:before="240"/>
        <w:rPr>
          <w:rFonts w:ascii="Arial" w:hAnsi="Arial" w:cs="Calibri"/>
          <w:lang w:val="en"/>
        </w:rPr>
      </w:pPr>
      <w:r w:rsidRPr="002741AE">
        <w:rPr>
          <w:rFonts w:ascii="Arial" w:hAnsi="Arial" w:cs="Calibri"/>
          <w:lang w:val="en"/>
        </w:rPr>
        <w:lastRenderedPageBreak/>
        <w:t>(8) An authorized registered nurse, emergency medical technician-I, emergency medical technician-II, emergency medical technician-paramedic, as described in Chapter 2 (commencing with Section 1797.50) of Division 2.5 of the Health and Safety Code.</w:t>
      </w:r>
    </w:p>
    <w:p w14:paraId="3D0F0F75" w14:textId="77777777" w:rsidR="002741AE" w:rsidRPr="002741AE" w:rsidRDefault="002741AE" w:rsidP="002741AE">
      <w:pPr>
        <w:spacing w:before="240"/>
        <w:rPr>
          <w:rFonts w:ascii="Arial" w:hAnsi="Arial" w:cs="Calibri"/>
          <w:lang w:val="en"/>
        </w:rPr>
      </w:pPr>
      <w:r w:rsidRPr="002741AE">
        <w:rPr>
          <w:rFonts w:ascii="Arial" w:hAnsi="Arial" w:cs="Calibri"/>
          <w:lang w:val="en"/>
        </w:rPr>
        <w:t>(9) An employee who provides direct patient care for a home health agency, as defined under Section 1727 of the Health and Safety Code.</w:t>
      </w:r>
    </w:p>
    <w:p w14:paraId="05D0D51F" w14:textId="77777777" w:rsidR="002741AE" w:rsidRPr="002741AE" w:rsidRDefault="002741AE" w:rsidP="002741AE">
      <w:pPr>
        <w:spacing w:before="240"/>
        <w:rPr>
          <w:rFonts w:ascii="Arial" w:hAnsi="Arial" w:cs="Calibri"/>
        </w:rPr>
      </w:pPr>
      <w:r w:rsidRPr="002741AE">
        <w:rPr>
          <w:rFonts w:ascii="Arial" w:hAnsi="Arial" w:cs="Calibri"/>
          <w:lang w:val="en"/>
        </w:rPr>
        <w:t>(10) Employees of health facilities, other than those described in paragraph (7). For these employees, the presumption shall not apply if the employer can establish that the employee did not have contact with a health facility patient within the last 14 days who tested positive for COVID-19. If it is determined that the presumption does not apply, the claim shall be evaluated pursuant to Sections 3202.5 and 3600. For the purposes of this subdivision, “health facility” means a health facility, as defined in subdivision (a), (b), (c), (m), or (n) of Section 1250 of the Health and Safety Code*.</w:t>
      </w:r>
      <w:r w:rsidRPr="002741AE">
        <w:rPr>
          <w:rFonts w:ascii="Arial" w:hAnsi="Arial" w:cs="Calibri"/>
        </w:rPr>
        <w:t xml:space="preserve"> (* That H&amp;SC definition notes these defined facilities must be capable of admitting patients for longer than 24 hours).</w:t>
      </w:r>
    </w:p>
    <w:p w14:paraId="378CC308" w14:textId="77777777" w:rsidR="002741AE" w:rsidRPr="002741AE" w:rsidRDefault="002741AE" w:rsidP="002741AE">
      <w:pPr>
        <w:spacing w:before="240"/>
        <w:rPr>
          <w:rFonts w:ascii="Arial" w:hAnsi="Arial" w:cs="Calibri"/>
          <w:lang w:val="en"/>
        </w:rPr>
      </w:pPr>
      <w:r w:rsidRPr="002741AE">
        <w:rPr>
          <w:rFonts w:ascii="Arial" w:hAnsi="Arial" w:cs="Calibri"/>
          <w:lang w:val="en"/>
        </w:rPr>
        <w:t>(11) A provider of in-home supportive services under Article 7 (commencing with Section 12300) of Chapter 3 of Part 3 of Division 9 of, or Sections 14132.95, 14132.952, and 14132.956 of, the Welfare and Institutions Code, when they provide the in-home supportive services outside their own home or residence.</w:t>
      </w:r>
    </w:p>
    <w:p w14:paraId="2E22C94C" w14:textId="77777777" w:rsidR="002741AE" w:rsidRPr="002741AE" w:rsidRDefault="002741AE" w:rsidP="002741AE">
      <w:pPr>
        <w:spacing w:before="240"/>
        <w:rPr>
          <w:rFonts w:ascii="Arial" w:hAnsi="Arial" w:cs="Calibri"/>
          <w:lang w:val="en"/>
        </w:rPr>
      </w:pPr>
    </w:p>
    <w:p w14:paraId="079135B7" w14:textId="77777777" w:rsidR="002741AE" w:rsidRPr="002741AE" w:rsidRDefault="002741AE" w:rsidP="002741AE">
      <w:pPr>
        <w:spacing w:before="240"/>
        <w:rPr>
          <w:rFonts w:ascii="Arial" w:hAnsi="Arial" w:cs="Calibri"/>
          <w:lang w:val="en"/>
        </w:rPr>
      </w:pPr>
    </w:p>
    <w:p w14:paraId="68C65D6F" w14:textId="77777777" w:rsidR="002741AE" w:rsidRPr="002741AE" w:rsidRDefault="002741AE" w:rsidP="002741AE">
      <w:pPr>
        <w:spacing w:before="240"/>
        <w:rPr>
          <w:rFonts w:ascii="Arial" w:hAnsi="Arial" w:cs="Calibri"/>
          <w:lang w:val="en"/>
        </w:rPr>
      </w:pPr>
      <w:r w:rsidRPr="002741AE">
        <w:rPr>
          <w:rFonts w:ascii="Arial" w:hAnsi="Arial" w:cs="Calibri"/>
          <w:b/>
          <w:u w:val="single"/>
          <w:lang w:val="en"/>
        </w:rPr>
        <w:t>Injury</w:t>
      </w:r>
      <w:r w:rsidRPr="002741AE">
        <w:rPr>
          <w:rFonts w:ascii="Arial" w:hAnsi="Arial" w:cs="Calibri"/>
          <w:lang w:val="en"/>
        </w:rPr>
        <w:t xml:space="preserve">: The term “injury,” as used here, includes illness or death resulting from COVID-19 </w:t>
      </w:r>
      <w:r w:rsidRPr="002741AE">
        <w:rPr>
          <w:rFonts w:ascii="Arial" w:hAnsi="Arial" w:cs="Calibri"/>
          <w:i/>
          <w:lang w:val="en"/>
        </w:rPr>
        <w:t xml:space="preserve">if </w:t>
      </w:r>
      <w:proofErr w:type="gramStart"/>
      <w:r w:rsidRPr="002741AE">
        <w:rPr>
          <w:rFonts w:ascii="Arial" w:hAnsi="Arial" w:cs="Calibri"/>
          <w:i/>
          <w:lang w:val="en"/>
        </w:rPr>
        <w:t>all of</w:t>
      </w:r>
      <w:proofErr w:type="gramEnd"/>
      <w:r w:rsidRPr="002741AE">
        <w:rPr>
          <w:rFonts w:ascii="Arial" w:hAnsi="Arial" w:cs="Calibri"/>
          <w:i/>
          <w:lang w:val="en"/>
        </w:rPr>
        <w:t xml:space="preserve"> the following</w:t>
      </w:r>
      <w:r w:rsidRPr="002741AE">
        <w:rPr>
          <w:rFonts w:ascii="Arial" w:hAnsi="Arial" w:cs="Calibri"/>
          <w:lang w:val="en"/>
        </w:rPr>
        <w:t xml:space="preserve"> circumstances apply:</w:t>
      </w:r>
    </w:p>
    <w:p w14:paraId="1CFB4EC2" w14:textId="77777777" w:rsidR="002741AE" w:rsidRPr="002741AE" w:rsidRDefault="002741AE" w:rsidP="002741AE">
      <w:pPr>
        <w:spacing w:before="240"/>
        <w:rPr>
          <w:rFonts w:ascii="Arial" w:hAnsi="Arial" w:cs="Calibri"/>
          <w:lang w:val="en"/>
        </w:rPr>
      </w:pPr>
      <w:r w:rsidRPr="002741AE">
        <w:rPr>
          <w:rFonts w:ascii="Arial" w:hAnsi="Arial" w:cs="Calibri"/>
          <w:lang w:val="en"/>
        </w:rPr>
        <w:t>(1) The employee has tested positive for COVID-19 within 14 days after a day that the employee performed labor or services at the employee’s place of employment at the employer’s direction.</w:t>
      </w:r>
    </w:p>
    <w:p w14:paraId="70091D60" w14:textId="77777777" w:rsidR="002741AE" w:rsidRPr="002741AE" w:rsidRDefault="002741AE" w:rsidP="002741AE">
      <w:pPr>
        <w:spacing w:before="240"/>
        <w:rPr>
          <w:rFonts w:ascii="Arial" w:hAnsi="Arial" w:cs="Calibri"/>
          <w:lang w:val="en"/>
        </w:rPr>
      </w:pPr>
      <w:r w:rsidRPr="002741AE">
        <w:rPr>
          <w:rFonts w:ascii="Arial" w:hAnsi="Arial" w:cs="Calibri"/>
          <w:lang w:val="en"/>
        </w:rPr>
        <w:t>(2) The day referenced in paragraph (1), on which the employee performed labor or services at the employee’s place of employment at the employer’s direction, was on or after July 6, 2020. The date of injury shall be the last date the employee performed labor or services at the employee’s place of employment at the employer’s direction prior to the positive test.</w:t>
      </w:r>
    </w:p>
    <w:p w14:paraId="28B8CEDB" w14:textId="77777777" w:rsidR="002741AE" w:rsidRPr="002741AE" w:rsidRDefault="002741AE" w:rsidP="002741AE">
      <w:pPr>
        <w:spacing w:before="240"/>
        <w:rPr>
          <w:rFonts w:ascii="Arial" w:hAnsi="Arial" w:cs="Calibri"/>
          <w:lang w:val="en"/>
        </w:rPr>
      </w:pPr>
      <w:r w:rsidRPr="002741AE">
        <w:rPr>
          <w:rFonts w:ascii="Arial" w:hAnsi="Arial" w:cs="Calibri"/>
          <w:b/>
          <w:u w:val="single"/>
          <w:lang w:val="en"/>
        </w:rPr>
        <w:t>Paid sick leave</w:t>
      </w:r>
      <w:r w:rsidRPr="002741AE">
        <w:rPr>
          <w:rFonts w:ascii="Arial" w:hAnsi="Arial" w:cs="Calibri"/>
          <w:lang w:val="en"/>
        </w:rPr>
        <w:t xml:space="preserve">:  If an employee has paid sick leave benefits </w:t>
      </w:r>
      <w:r w:rsidRPr="002741AE">
        <w:rPr>
          <w:rFonts w:ascii="Arial" w:hAnsi="Arial" w:cs="Calibri"/>
          <w:i/>
          <w:iCs/>
          <w:u w:val="single"/>
          <w:lang w:val="en"/>
        </w:rPr>
        <w:t>specifically available in response to COVID-19,</w:t>
      </w:r>
      <w:r w:rsidRPr="002741AE">
        <w:rPr>
          <w:rFonts w:ascii="Arial" w:hAnsi="Arial" w:cs="Calibri"/>
          <w:i/>
          <w:iCs/>
          <w:lang w:val="en"/>
        </w:rPr>
        <w:t xml:space="preserve"> </w:t>
      </w:r>
      <w:r w:rsidRPr="002741AE">
        <w:rPr>
          <w:rFonts w:ascii="Arial" w:hAnsi="Arial" w:cs="Calibri"/>
          <w:lang w:val="en"/>
        </w:rPr>
        <w:t xml:space="preserve">those benefits shall be used and exhausted before any temporary disability benefits or benefits under Section 4800, 4800.5, or 4850 are due and payable. If an employee does not have those sick leave benefits, the employee shall be provided temporary disability </w:t>
      </w:r>
      <w:r w:rsidRPr="002741AE">
        <w:rPr>
          <w:rFonts w:ascii="Arial" w:hAnsi="Arial" w:cs="Calibri"/>
          <w:lang w:val="en"/>
        </w:rPr>
        <w:lastRenderedPageBreak/>
        <w:t>benefits or Section 4850 benefits, if applicable, from the date of disability. There shall not be a waiting period for temporary disability benefits.</w:t>
      </w:r>
    </w:p>
    <w:p w14:paraId="54E47F73" w14:textId="77777777" w:rsidR="002741AE" w:rsidRPr="002741AE" w:rsidRDefault="002741AE" w:rsidP="002741AE">
      <w:pPr>
        <w:spacing w:before="240"/>
        <w:rPr>
          <w:rFonts w:ascii="Arial" w:hAnsi="Arial" w:cs="Calibri"/>
          <w:lang w:val="en"/>
        </w:rPr>
      </w:pPr>
      <w:r w:rsidRPr="002741AE">
        <w:rPr>
          <w:rFonts w:ascii="Arial" w:hAnsi="Arial" w:cs="Calibri"/>
          <w:b/>
          <w:u w:val="single"/>
          <w:lang w:val="en"/>
        </w:rPr>
        <w:t>Presumption: Rebuttable</w:t>
      </w:r>
      <w:r w:rsidRPr="002741AE">
        <w:rPr>
          <w:rFonts w:ascii="Arial" w:hAnsi="Arial" w:cs="Calibri"/>
          <w:lang w:val="en"/>
        </w:rPr>
        <w:t xml:space="preserve">   An injury described in this Section is presumed to arise out of and in the course of the employment, except as provided in this subdivision. This presumption is disputable and may be controverted by other evidence. (Unless controverted, the appeals board is bound to find in accordance with the presumption). This presumption shall be extended to </w:t>
      </w:r>
      <w:proofErr w:type="gramStart"/>
      <w:r w:rsidRPr="002741AE">
        <w:rPr>
          <w:rFonts w:ascii="Arial" w:hAnsi="Arial" w:cs="Calibri"/>
          <w:lang w:val="en"/>
        </w:rPr>
        <w:t>all of</w:t>
      </w:r>
      <w:proofErr w:type="gramEnd"/>
      <w:r w:rsidRPr="002741AE">
        <w:rPr>
          <w:rFonts w:ascii="Arial" w:hAnsi="Arial" w:cs="Calibri"/>
          <w:lang w:val="en"/>
        </w:rPr>
        <w:t xml:space="preserve"> those persons described (in the applicability section above: {1-11}) following termination of service for a period of 14 days, commencing with the last date actually worked in the specified capacity at the employee’s place of employment as described in the law.</w:t>
      </w:r>
    </w:p>
    <w:p w14:paraId="5CFA3B16" w14:textId="77777777" w:rsidR="002741AE" w:rsidRPr="002741AE" w:rsidRDefault="002741AE" w:rsidP="002741AE">
      <w:pPr>
        <w:spacing w:before="240"/>
        <w:rPr>
          <w:rFonts w:ascii="Arial" w:hAnsi="Arial" w:cs="Calibri"/>
          <w:lang w:val="en"/>
        </w:rPr>
      </w:pPr>
      <w:r w:rsidRPr="002741AE">
        <w:rPr>
          <w:rFonts w:ascii="Arial" w:hAnsi="Arial" w:cs="Calibri"/>
          <w:b/>
          <w:u w:val="single"/>
          <w:lang w:val="en"/>
        </w:rPr>
        <w:t>Failure to Reject within 30 days</w:t>
      </w:r>
      <w:r w:rsidRPr="002741AE">
        <w:rPr>
          <w:rFonts w:ascii="Arial" w:hAnsi="Arial" w:cs="Calibri"/>
          <w:lang w:val="en"/>
        </w:rPr>
        <w:t xml:space="preserve"> Generally, if liability for a claim of a COVID-19-related illness is not rejected within 30 days after the date the claim form is filed pursuant to Section 5401, the illness shall be presumed compensable. The presumption of this subdivision is rebuttable only by evidence discovered </w:t>
      </w:r>
      <w:proofErr w:type="gramStart"/>
      <w:r w:rsidRPr="002741AE">
        <w:rPr>
          <w:rFonts w:ascii="Arial" w:hAnsi="Arial" w:cs="Calibri"/>
          <w:lang w:val="en"/>
        </w:rPr>
        <w:t>subsequent to</w:t>
      </w:r>
      <w:proofErr w:type="gramEnd"/>
      <w:r w:rsidRPr="002741AE">
        <w:rPr>
          <w:rFonts w:ascii="Arial" w:hAnsi="Arial" w:cs="Calibri"/>
          <w:lang w:val="en"/>
        </w:rPr>
        <w:t xml:space="preserve"> the 30-day period.</w:t>
      </w:r>
    </w:p>
    <w:p w14:paraId="06B9B2CE" w14:textId="77777777" w:rsidR="002741AE" w:rsidRPr="002741AE" w:rsidRDefault="002741AE" w:rsidP="002741AE">
      <w:pPr>
        <w:spacing w:before="240"/>
        <w:rPr>
          <w:rFonts w:ascii="Arial" w:hAnsi="Arial" w:cs="Calibri"/>
          <w:lang w:val="en"/>
        </w:rPr>
      </w:pPr>
      <w:r w:rsidRPr="002741AE">
        <w:rPr>
          <w:rFonts w:ascii="Arial" w:hAnsi="Arial" w:cs="Calibri"/>
          <w:b/>
          <w:u w:val="single"/>
          <w:lang w:val="en"/>
        </w:rPr>
        <w:t>Pending Matters</w:t>
      </w:r>
      <w:r w:rsidRPr="002741AE">
        <w:rPr>
          <w:rFonts w:ascii="Arial" w:hAnsi="Arial" w:cs="Calibri"/>
          <w:lang w:val="en"/>
        </w:rPr>
        <w:t>: This section applies to all pending matters, unless otherwise specified in this section, but shall not be a basis to rescind, alter, amend, or reopen any final award of workers’ compensation benefits.</w:t>
      </w:r>
    </w:p>
    <w:p w14:paraId="1D0D4D53" w14:textId="77777777" w:rsidR="002741AE" w:rsidRPr="002741AE" w:rsidRDefault="002741AE" w:rsidP="002741AE">
      <w:pPr>
        <w:spacing w:before="240"/>
        <w:rPr>
          <w:rFonts w:ascii="Arial" w:hAnsi="Arial" w:cs="Calibri"/>
          <w:lang w:val="en"/>
        </w:rPr>
      </w:pPr>
      <w:r w:rsidRPr="002741AE">
        <w:rPr>
          <w:rFonts w:ascii="Arial" w:hAnsi="Arial" w:cs="Calibri"/>
          <w:b/>
          <w:u w:val="single"/>
          <w:lang w:val="en"/>
        </w:rPr>
        <w:t>Definitions</w:t>
      </w:r>
      <w:r w:rsidRPr="002741AE">
        <w:rPr>
          <w:rFonts w:ascii="Arial" w:hAnsi="Arial" w:cs="Calibri"/>
          <w:lang w:val="en"/>
        </w:rPr>
        <w:t xml:space="preserve">: </w:t>
      </w:r>
    </w:p>
    <w:p w14:paraId="225C1D61" w14:textId="77777777" w:rsidR="002741AE" w:rsidRPr="002741AE" w:rsidRDefault="002741AE" w:rsidP="002741AE">
      <w:pPr>
        <w:spacing w:before="240"/>
        <w:rPr>
          <w:rFonts w:ascii="Arial" w:hAnsi="Arial" w:cs="Calibri"/>
          <w:lang w:val="en"/>
        </w:rPr>
      </w:pPr>
      <w:r w:rsidRPr="002741AE">
        <w:rPr>
          <w:rFonts w:ascii="Arial" w:hAnsi="Arial" w:cs="Calibri"/>
          <w:lang w:val="en"/>
        </w:rPr>
        <w:t xml:space="preserve"> </w:t>
      </w:r>
      <w:r w:rsidRPr="002741AE">
        <w:rPr>
          <w:rFonts w:ascii="Arial" w:hAnsi="Arial" w:cs="Calibri"/>
          <w:b/>
          <w:lang w:val="en"/>
        </w:rPr>
        <w:t>“</w:t>
      </w:r>
      <w:r w:rsidRPr="002741AE">
        <w:rPr>
          <w:rFonts w:ascii="Arial" w:hAnsi="Arial" w:cs="Calibri"/>
          <w:b/>
          <w:u w:val="single"/>
          <w:lang w:val="en"/>
        </w:rPr>
        <w:t>Test</w:t>
      </w:r>
      <w:r w:rsidRPr="002741AE">
        <w:rPr>
          <w:rFonts w:ascii="Arial" w:hAnsi="Arial" w:cs="Calibri"/>
          <w:lang w:val="en"/>
        </w:rPr>
        <w:t xml:space="preserve">” or </w:t>
      </w:r>
      <w:r w:rsidRPr="002741AE">
        <w:rPr>
          <w:rFonts w:ascii="Arial" w:hAnsi="Arial" w:cs="Calibri"/>
          <w:b/>
          <w:lang w:val="en"/>
        </w:rPr>
        <w:t>“</w:t>
      </w:r>
      <w:r w:rsidRPr="002741AE">
        <w:rPr>
          <w:rFonts w:ascii="Arial" w:hAnsi="Arial" w:cs="Calibri"/>
          <w:b/>
          <w:u w:val="single"/>
          <w:lang w:val="en"/>
        </w:rPr>
        <w:t>testing</w:t>
      </w:r>
      <w:r w:rsidRPr="002741AE">
        <w:rPr>
          <w:rFonts w:ascii="Arial" w:hAnsi="Arial" w:cs="Calibri"/>
          <w:lang w:val="en"/>
        </w:rPr>
        <w:t>” means a PCR (Polymerase Chain Reaction) test approved for use or approved for emergency use by the United States FDA to detect the presence of viral RNA. “Test” or “testing” does not include serologic testing, also known as antibody testing. “Test” or “testing” may include any other viral culture test approved for use or approved for emergency use by the United States FDA to detect the presence of viral RNA which has the same or higher sensitivity and specificity as the PCR Test.</w:t>
      </w:r>
    </w:p>
    <w:p w14:paraId="42DFDCDE" w14:textId="77777777" w:rsidR="002741AE" w:rsidRPr="002741AE" w:rsidRDefault="002741AE" w:rsidP="002741AE">
      <w:pPr>
        <w:spacing w:before="240"/>
        <w:rPr>
          <w:rFonts w:ascii="Arial" w:hAnsi="Arial" w:cs="Calibri"/>
          <w:lang w:val="en"/>
        </w:rPr>
      </w:pPr>
      <w:r w:rsidRPr="002741AE">
        <w:rPr>
          <w:rFonts w:ascii="Arial" w:hAnsi="Arial" w:cs="Calibri"/>
          <w:lang w:val="en"/>
        </w:rPr>
        <w:t>An “</w:t>
      </w:r>
      <w:r w:rsidRPr="002741AE">
        <w:rPr>
          <w:rFonts w:ascii="Arial" w:hAnsi="Arial" w:cs="Calibri"/>
          <w:b/>
          <w:lang w:val="en"/>
        </w:rPr>
        <w:t>employee’s place of employment</w:t>
      </w:r>
      <w:r w:rsidRPr="002741AE">
        <w:rPr>
          <w:rFonts w:ascii="Arial" w:hAnsi="Arial" w:cs="Calibri"/>
          <w:lang w:val="en"/>
        </w:rPr>
        <w:t xml:space="preserve">” does </w:t>
      </w:r>
      <w:r w:rsidRPr="002741AE">
        <w:rPr>
          <w:rFonts w:ascii="Arial" w:hAnsi="Arial" w:cs="Calibri"/>
          <w:i/>
          <w:lang w:val="en"/>
        </w:rPr>
        <w:t>not</w:t>
      </w:r>
      <w:r w:rsidRPr="002741AE">
        <w:rPr>
          <w:rFonts w:ascii="Arial" w:hAnsi="Arial" w:cs="Calibri"/>
          <w:lang w:val="en"/>
        </w:rPr>
        <w:t xml:space="preserve"> include an employee’s home or residence.</w:t>
      </w:r>
    </w:p>
    <w:p w14:paraId="21290731" w14:textId="77777777" w:rsidR="002741AE" w:rsidRPr="002741AE" w:rsidRDefault="002741AE" w:rsidP="002741AE">
      <w:pPr>
        <w:spacing w:before="240"/>
        <w:rPr>
          <w:rFonts w:ascii="Arial" w:hAnsi="Arial" w:cs="Calibri"/>
          <w:lang w:val="en"/>
        </w:rPr>
      </w:pPr>
      <w:r w:rsidRPr="002741AE">
        <w:rPr>
          <w:rFonts w:ascii="Arial" w:hAnsi="Arial" w:cs="Calibri"/>
          <w:b/>
          <w:bCs/>
          <w:lang w:val="en"/>
        </w:rPr>
        <w:t xml:space="preserve">SECTION 4:  </w:t>
      </w:r>
      <w:r w:rsidRPr="002741AE">
        <w:rPr>
          <w:rFonts w:ascii="Arial" w:hAnsi="Arial" w:cs="Calibri"/>
          <w:lang w:val="en"/>
        </w:rPr>
        <w:t xml:space="preserve">Section 3212.88 is added to the Labor Code, </w:t>
      </w:r>
      <w:r w:rsidRPr="002741AE">
        <w:rPr>
          <w:rFonts w:ascii="Arial" w:hAnsi="Arial" w:cs="Calibri"/>
          <w:b/>
          <w:bCs/>
          <w:lang w:val="en"/>
        </w:rPr>
        <w:t>(</w:t>
      </w:r>
      <w:r w:rsidRPr="002741AE">
        <w:rPr>
          <w:rFonts w:ascii="Arial" w:hAnsi="Arial" w:cs="Calibri"/>
          <w:u w:val="single"/>
          <w:lang w:val="en"/>
        </w:rPr>
        <w:t>this is what is often referred to as the “outbreak” segment</w:t>
      </w:r>
      <w:r w:rsidRPr="002741AE">
        <w:rPr>
          <w:rFonts w:ascii="Arial" w:hAnsi="Arial" w:cs="Calibri"/>
          <w:lang w:val="en"/>
        </w:rPr>
        <w:t>), which addresses:</w:t>
      </w:r>
    </w:p>
    <w:p w14:paraId="3E05B4C6" w14:textId="77777777" w:rsidR="002741AE" w:rsidRPr="002741AE" w:rsidRDefault="002741AE" w:rsidP="002741AE">
      <w:pPr>
        <w:spacing w:before="240"/>
        <w:rPr>
          <w:rFonts w:ascii="Arial" w:hAnsi="Arial" w:cs="Calibri"/>
          <w:lang w:val="en"/>
        </w:rPr>
      </w:pPr>
      <w:r w:rsidRPr="002741AE">
        <w:rPr>
          <w:rFonts w:ascii="Arial" w:hAnsi="Arial" w:cs="Calibri"/>
          <w:lang w:val="en"/>
        </w:rPr>
        <w:t>Employees who are:</w:t>
      </w:r>
    </w:p>
    <w:p w14:paraId="7BF4DED3" w14:textId="77777777" w:rsidR="002741AE" w:rsidRPr="002741AE" w:rsidRDefault="002741AE" w:rsidP="002741AE">
      <w:pPr>
        <w:numPr>
          <w:ilvl w:val="0"/>
          <w:numId w:val="4"/>
        </w:numPr>
        <w:spacing w:before="240"/>
        <w:rPr>
          <w:rFonts w:ascii="Arial" w:hAnsi="Arial" w:cs="Calibri"/>
          <w:lang w:val="en"/>
        </w:rPr>
      </w:pPr>
      <w:r w:rsidRPr="002741AE">
        <w:rPr>
          <w:rFonts w:ascii="Arial" w:hAnsi="Arial" w:cs="Calibri"/>
          <w:lang w:val="en"/>
        </w:rPr>
        <w:t xml:space="preserve">not described in Section 3212.87,  </w:t>
      </w:r>
    </w:p>
    <w:p w14:paraId="7C154F1E" w14:textId="77777777" w:rsidR="002741AE" w:rsidRPr="002741AE" w:rsidRDefault="002741AE" w:rsidP="002741AE">
      <w:pPr>
        <w:numPr>
          <w:ilvl w:val="0"/>
          <w:numId w:val="4"/>
        </w:numPr>
        <w:spacing w:before="240"/>
        <w:rPr>
          <w:rFonts w:ascii="Arial" w:hAnsi="Arial" w:cs="Calibri"/>
          <w:lang w:val="en"/>
        </w:rPr>
      </w:pPr>
      <w:r w:rsidRPr="002741AE">
        <w:rPr>
          <w:rFonts w:ascii="Arial" w:hAnsi="Arial" w:cs="Calibri"/>
          <w:lang w:val="en"/>
        </w:rPr>
        <w:t xml:space="preserve">who test positive during an outbreak at the employee’s specific place of employment, </w:t>
      </w:r>
      <w:proofErr w:type="gramStart"/>
      <w:r w:rsidRPr="002741AE">
        <w:rPr>
          <w:rFonts w:ascii="Arial" w:hAnsi="Arial" w:cs="Calibri"/>
          <w:lang w:val="en"/>
        </w:rPr>
        <w:t>and</w:t>
      </w:r>
      <w:proofErr w:type="gramEnd"/>
      <w:r w:rsidRPr="002741AE">
        <w:rPr>
          <w:rFonts w:ascii="Arial" w:hAnsi="Arial" w:cs="Calibri"/>
          <w:lang w:val="en"/>
        </w:rPr>
        <w:t xml:space="preserve"> </w:t>
      </w:r>
    </w:p>
    <w:p w14:paraId="58892583" w14:textId="77777777" w:rsidR="002741AE" w:rsidRPr="002741AE" w:rsidRDefault="002741AE" w:rsidP="002741AE">
      <w:pPr>
        <w:numPr>
          <w:ilvl w:val="0"/>
          <w:numId w:val="4"/>
        </w:numPr>
        <w:spacing w:before="240"/>
        <w:rPr>
          <w:rFonts w:ascii="Arial" w:hAnsi="Arial" w:cs="Calibri"/>
          <w:lang w:val="en"/>
        </w:rPr>
      </w:pPr>
      <w:r w:rsidRPr="002741AE">
        <w:rPr>
          <w:rFonts w:ascii="Arial" w:hAnsi="Arial" w:cs="Calibri"/>
          <w:lang w:val="en"/>
        </w:rPr>
        <w:lastRenderedPageBreak/>
        <w:t xml:space="preserve">whose employer has 5 (five) or more employees.                </w:t>
      </w:r>
    </w:p>
    <w:p w14:paraId="2070F6EC" w14:textId="77777777" w:rsidR="002741AE" w:rsidRPr="002741AE" w:rsidRDefault="002741AE" w:rsidP="002741AE">
      <w:pPr>
        <w:spacing w:before="240"/>
        <w:rPr>
          <w:rFonts w:ascii="Arial" w:hAnsi="Arial" w:cs="Calibri"/>
          <w:b/>
          <w:u w:val="single"/>
          <w:lang w:val="en"/>
        </w:rPr>
      </w:pPr>
    </w:p>
    <w:p w14:paraId="28BD7787" w14:textId="77777777" w:rsidR="002741AE" w:rsidRPr="002741AE" w:rsidRDefault="002741AE" w:rsidP="002741AE">
      <w:pPr>
        <w:spacing w:before="240"/>
        <w:rPr>
          <w:rFonts w:ascii="Arial" w:hAnsi="Arial" w:cs="Calibri"/>
          <w:lang w:val="en"/>
        </w:rPr>
      </w:pPr>
      <w:r w:rsidRPr="002741AE">
        <w:rPr>
          <w:rFonts w:ascii="Arial" w:hAnsi="Arial" w:cs="Calibri"/>
          <w:b/>
          <w:u w:val="single"/>
          <w:lang w:val="en"/>
        </w:rPr>
        <w:t>Injury</w:t>
      </w:r>
      <w:r w:rsidRPr="002741AE">
        <w:rPr>
          <w:rFonts w:ascii="Arial" w:hAnsi="Arial" w:cs="Calibri"/>
          <w:lang w:val="en"/>
        </w:rPr>
        <w:t xml:space="preserve">: The term “injury,” as used here, includes illness or death resulting from COVID-19 if </w:t>
      </w:r>
      <w:proofErr w:type="gramStart"/>
      <w:r w:rsidRPr="002741AE">
        <w:rPr>
          <w:rFonts w:ascii="Arial" w:hAnsi="Arial" w:cs="Calibri"/>
          <w:i/>
          <w:lang w:val="en"/>
        </w:rPr>
        <w:t>all of</w:t>
      </w:r>
      <w:proofErr w:type="gramEnd"/>
      <w:r w:rsidRPr="002741AE">
        <w:rPr>
          <w:rFonts w:ascii="Arial" w:hAnsi="Arial" w:cs="Calibri"/>
          <w:i/>
          <w:lang w:val="en"/>
        </w:rPr>
        <w:t xml:space="preserve"> the following</w:t>
      </w:r>
      <w:r w:rsidRPr="002741AE">
        <w:rPr>
          <w:rFonts w:ascii="Arial" w:hAnsi="Arial" w:cs="Calibri"/>
          <w:lang w:val="en"/>
        </w:rPr>
        <w:t xml:space="preserve"> circumstances apply:</w:t>
      </w:r>
    </w:p>
    <w:p w14:paraId="079F4DF0" w14:textId="77777777" w:rsidR="002741AE" w:rsidRPr="002741AE" w:rsidRDefault="002741AE" w:rsidP="002741AE">
      <w:pPr>
        <w:spacing w:before="240"/>
        <w:rPr>
          <w:rFonts w:ascii="Arial" w:hAnsi="Arial" w:cs="Calibri"/>
          <w:lang w:val="en"/>
        </w:rPr>
      </w:pPr>
      <w:r w:rsidRPr="002741AE">
        <w:rPr>
          <w:rFonts w:ascii="Arial" w:hAnsi="Arial" w:cs="Calibri"/>
          <w:lang w:val="en"/>
        </w:rPr>
        <w:t>(1) The employee tests positive for COVID-19 within 14 days after a day that the employee performed labor or services at the employee’s place of employment at the employer’s direction.</w:t>
      </w:r>
    </w:p>
    <w:p w14:paraId="057DA624" w14:textId="77777777" w:rsidR="002741AE" w:rsidRPr="002741AE" w:rsidRDefault="002741AE" w:rsidP="002741AE">
      <w:pPr>
        <w:spacing w:before="240"/>
        <w:rPr>
          <w:rFonts w:ascii="Arial" w:hAnsi="Arial" w:cs="Calibri"/>
          <w:lang w:val="en"/>
        </w:rPr>
      </w:pPr>
      <w:r w:rsidRPr="002741AE">
        <w:rPr>
          <w:rFonts w:ascii="Arial" w:hAnsi="Arial" w:cs="Calibri"/>
          <w:lang w:val="en"/>
        </w:rPr>
        <w:t>(2) The day referenced in paragraph (1) on which the employee performed labor or services at the employee’s place of employment at the employer’s direction was on or after July 6, 2020. The date of injury shall be the last date the employee performed labor or services at the employee’s place of employment at the employer’s direction prior to the positive test.</w:t>
      </w:r>
    </w:p>
    <w:p w14:paraId="405B5E2A" w14:textId="77777777" w:rsidR="002741AE" w:rsidRPr="002741AE" w:rsidRDefault="002741AE" w:rsidP="002741AE">
      <w:pPr>
        <w:spacing w:before="240"/>
        <w:rPr>
          <w:rFonts w:ascii="Arial" w:hAnsi="Arial" w:cs="Calibri"/>
          <w:lang w:val="en"/>
        </w:rPr>
      </w:pPr>
      <w:r w:rsidRPr="002741AE">
        <w:rPr>
          <w:rFonts w:ascii="Arial" w:hAnsi="Arial" w:cs="Calibri"/>
          <w:lang w:val="en"/>
        </w:rPr>
        <w:t>(3) The employee’s positive test occurred during a period of an outbreak at the employee’s specific place of employment.</w:t>
      </w:r>
    </w:p>
    <w:p w14:paraId="0C3835BF" w14:textId="77777777" w:rsidR="002741AE" w:rsidRPr="002741AE" w:rsidRDefault="002741AE" w:rsidP="002741AE">
      <w:pPr>
        <w:spacing w:before="240"/>
        <w:rPr>
          <w:rFonts w:ascii="Arial" w:hAnsi="Arial" w:cs="Calibri"/>
          <w:lang w:val="en"/>
        </w:rPr>
      </w:pPr>
      <w:r w:rsidRPr="002741AE">
        <w:rPr>
          <w:rFonts w:ascii="Arial" w:hAnsi="Arial" w:cs="Calibri"/>
          <w:b/>
          <w:u w:val="single"/>
          <w:lang w:val="en"/>
        </w:rPr>
        <w:t>Sick Leave</w:t>
      </w:r>
      <w:r w:rsidRPr="002741AE">
        <w:rPr>
          <w:rFonts w:ascii="Arial" w:hAnsi="Arial" w:cs="Calibri"/>
          <w:lang w:val="en"/>
        </w:rPr>
        <w:t xml:space="preserve">: If an employee has paid sick leave </w:t>
      </w:r>
      <w:r w:rsidRPr="002741AE">
        <w:rPr>
          <w:rFonts w:ascii="Arial" w:hAnsi="Arial" w:cs="Calibri"/>
          <w:i/>
          <w:iCs/>
          <w:u w:val="single"/>
          <w:lang w:val="en"/>
        </w:rPr>
        <w:t>benefits specifically available in response to COVID-19</w:t>
      </w:r>
      <w:r w:rsidRPr="002741AE">
        <w:rPr>
          <w:rFonts w:ascii="Arial" w:hAnsi="Arial" w:cs="Calibri"/>
          <w:lang w:val="en"/>
        </w:rPr>
        <w:t>, those benefits shall be used and exhausted before any temporary disability benefits, benefits under Section 4800, 4800.5, or 4850 or Section 44977, 44984, 45192, 45196, 87780, 87787, 88192, or 88196 of the Education Code are due and payable. If an employee does not have those sick leave benefits, the employee shall be provided temporary disability benefits or Section 4850 benefits, if applicable, from the date of disability. There shall not be a waiting period for temporary disability benefits.</w:t>
      </w:r>
    </w:p>
    <w:p w14:paraId="6372949C" w14:textId="77777777" w:rsidR="002741AE" w:rsidRPr="002741AE" w:rsidRDefault="002741AE" w:rsidP="002741AE">
      <w:pPr>
        <w:spacing w:before="240"/>
        <w:rPr>
          <w:rFonts w:ascii="Arial" w:hAnsi="Arial" w:cs="Calibri"/>
          <w:lang w:val="en"/>
        </w:rPr>
      </w:pPr>
      <w:r w:rsidRPr="002741AE">
        <w:rPr>
          <w:rFonts w:ascii="Arial" w:hAnsi="Arial" w:cs="Calibri"/>
          <w:b/>
          <w:u w:val="single"/>
          <w:lang w:val="en"/>
        </w:rPr>
        <w:t>Presumption: Rebuttable</w:t>
      </w:r>
      <w:r w:rsidRPr="002741AE">
        <w:rPr>
          <w:rFonts w:ascii="Arial" w:hAnsi="Arial" w:cs="Calibri"/>
          <w:lang w:val="en"/>
        </w:rPr>
        <w:t xml:space="preserve">: An injury described in this subdivision is presumed to arise out of and in the course of the employment, except as provided in this subdivision. This presumption is disputable and may be controverted by other evidence. Unless controverted, the appeals board is bound to find in accordance with the presumption. This presumption shall be extended to a person described in this subdivision following termination of service for a period of 14 days, commencing with the last date </w:t>
      </w:r>
      <w:proofErr w:type="gramStart"/>
      <w:r w:rsidRPr="002741AE">
        <w:rPr>
          <w:rFonts w:ascii="Arial" w:hAnsi="Arial" w:cs="Calibri"/>
          <w:lang w:val="en"/>
        </w:rPr>
        <w:t>actually worked</w:t>
      </w:r>
      <w:proofErr w:type="gramEnd"/>
      <w:r w:rsidRPr="002741AE">
        <w:rPr>
          <w:rFonts w:ascii="Arial" w:hAnsi="Arial" w:cs="Calibri"/>
          <w:lang w:val="en"/>
        </w:rPr>
        <w:t xml:space="preserve"> in the specified capacity at the employee’s place of employment. This section does not affect an employee’s rights to compensation for an injury or illness under this division in accordance with a preponderance of evidence.</w:t>
      </w:r>
    </w:p>
    <w:p w14:paraId="3DBC15AA" w14:textId="77777777" w:rsidR="002741AE" w:rsidRPr="002741AE" w:rsidRDefault="002741AE" w:rsidP="002741AE">
      <w:pPr>
        <w:spacing w:before="240"/>
        <w:rPr>
          <w:rFonts w:ascii="Arial" w:hAnsi="Arial" w:cs="Calibri"/>
          <w:lang w:val="en"/>
        </w:rPr>
      </w:pPr>
      <w:r w:rsidRPr="002741AE">
        <w:rPr>
          <w:rFonts w:ascii="Arial" w:hAnsi="Arial" w:cs="Calibri"/>
          <w:b/>
          <w:u w:val="single"/>
          <w:lang w:val="en"/>
        </w:rPr>
        <w:t>Rebuttal: Evidence</w:t>
      </w:r>
      <w:r w:rsidRPr="002741AE">
        <w:rPr>
          <w:rFonts w:ascii="Arial" w:hAnsi="Arial" w:cs="Calibri"/>
          <w:lang w:val="en"/>
        </w:rPr>
        <w:t>: Evidence relevant to controverting the presumption may include, but is not limited to, evidence of measures in place to reduce potential transmission of COVID-19 in the employee’s place of employment and evidence of an employee’s non-occupational risks of COVID-19 infection.</w:t>
      </w:r>
    </w:p>
    <w:p w14:paraId="7397F14C" w14:textId="77777777" w:rsidR="002741AE" w:rsidRPr="002741AE" w:rsidRDefault="002741AE" w:rsidP="002741AE">
      <w:pPr>
        <w:spacing w:before="240"/>
        <w:rPr>
          <w:rFonts w:ascii="Arial" w:hAnsi="Arial" w:cs="Calibri"/>
          <w:lang w:val="en"/>
        </w:rPr>
      </w:pPr>
      <w:r w:rsidRPr="002741AE">
        <w:rPr>
          <w:rFonts w:ascii="Arial" w:hAnsi="Arial" w:cs="Calibri"/>
          <w:b/>
          <w:u w:val="single"/>
          <w:lang w:val="en"/>
        </w:rPr>
        <w:lastRenderedPageBreak/>
        <w:t>Failure to Reject within 45 days:</w:t>
      </w:r>
      <w:r w:rsidRPr="002741AE">
        <w:rPr>
          <w:rFonts w:ascii="Arial" w:hAnsi="Arial" w:cs="Calibri"/>
          <w:b/>
          <w:lang w:val="en"/>
        </w:rPr>
        <w:t xml:space="preserve"> </w:t>
      </w:r>
      <w:r w:rsidRPr="002741AE">
        <w:rPr>
          <w:rFonts w:ascii="Arial" w:hAnsi="Arial" w:cs="Calibri"/>
          <w:lang w:val="en"/>
        </w:rPr>
        <w:t>Generally,</w:t>
      </w:r>
      <w:r w:rsidRPr="002741AE">
        <w:rPr>
          <w:rFonts w:ascii="Arial" w:hAnsi="Arial" w:cs="Calibri"/>
          <w:b/>
          <w:lang w:val="en"/>
        </w:rPr>
        <w:t xml:space="preserve"> </w:t>
      </w:r>
      <w:r w:rsidRPr="002741AE">
        <w:rPr>
          <w:rFonts w:ascii="Arial" w:hAnsi="Arial" w:cs="Calibri"/>
          <w:lang w:val="en"/>
        </w:rPr>
        <w:t xml:space="preserve">if liability for a claim of a COVID-19 related illness is not rejected within 45 days after the date the claim form is filed pursuant to Section 5401, the illness shall be presumed compensable. The presumption of this subdivision is rebuttable only by evidence discovered </w:t>
      </w:r>
      <w:proofErr w:type="gramStart"/>
      <w:r w:rsidRPr="002741AE">
        <w:rPr>
          <w:rFonts w:ascii="Arial" w:hAnsi="Arial" w:cs="Calibri"/>
          <w:lang w:val="en"/>
        </w:rPr>
        <w:t>subsequent to</w:t>
      </w:r>
      <w:proofErr w:type="gramEnd"/>
      <w:r w:rsidRPr="002741AE">
        <w:rPr>
          <w:rFonts w:ascii="Arial" w:hAnsi="Arial" w:cs="Calibri"/>
          <w:lang w:val="en"/>
        </w:rPr>
        <w:t xml:space="preserve"> the 45-day period.</w:t>
      </w:r>
    </w:p>
    <w:p w14:paraId="2710E8F2" w14:textId="77777777" w:rsidR="002741AE" w:rsidRPr="002741AE" w:rsidRDefault="002741AE" w:rsidP="002741AE">
      <w:pPr>
        <w:spacing w:before="240"/>
        <w:rPr>
          <w:rFonts w:ascii="Arial" w:hAnsi="Arial" w:cs="Calibri"/>
          <w:lang w:val="en"/>
        </w:rPr>
      </w:pPr>
      <w:r w:rsidRPr="002741AE">
        <w:rPr>
          <w:rFonts w:ascii="Arial" w:hAnsi="Arial" w:cs="Calibri"/>
          <w:b/>
          <w:u w:val="single"/>
          <w:lang w:val="en"/>
        </w:rPr>
        <w:t>Pending matters</w:t>
      </w:r>
      <w:r w:rsidRPr="002741AE">
        <w:rPr>
          <w:rFonts w:ascii="Arial" w:hAnsi="Arial" w:cs="Calibri"/>
          <w:lang w:val="en"/>
        </w:rPr>
        <w:t>: This section applies to all pending matters, unless otherwise specified in this section, but is not a basis to rescind, alter, amend, or reopen any final award of workers’ compensation benefits</w:t>
      </w:r>
    </w:p>
    <w:p w14:paraId="4EC55AF6" w14:textId="77777777" w:rsidR="002741AE" w:rsidRPr="002741AE" w:rsidRDefault="002741AE" w:rsidP="002741AE">
      <w:pPr>
        <w:spacing w:before="240"/>
        <w:rPr>
          <w:rFonts w:ascii="Arial" w:hAnsi="Arial" w:cs="Calibri"/>
          <w:b/>
          <w:u w:val="single"/>
          <w:lang w:val="en"/>
        </w:rPr>
      </w:pPr>
      <w:r w:rsidRPr="002741AE">
        <w:rPr>
          <w:rFonts w:ascii="Arial" w:hAnsi="Arial" w:cs="Calibri"/>
          <w:b/>
          <w:u w:val="single"/>
          <w:lang w:val="en"/>
        </w:rPr>
        <w:t>SIGNIFICANT EMPLOYER REPORTING OBLIGATIONS</w:t>
      </w:r>
    </w:p>
    <w:p w14:paraId="043F8169" w14:textId="77777777" w:rsidR="002741AE" w:rsidRPr="002741AE" w:rsidRDefault="002741AE" w:rsidP="002741AE">
      <w:pPr>
        <w:spacing w:before="240"/>
        <w:rPr>
          <w:rFonts w:ascii="Arial" w:hAnsi="Arial" w:cs="Calibri"/>
          <w:i/>
          <w:iCs/>
        </w:rPr>
      </w:pPr>
      <w:r w:rsidRPr="002741AE">
        <w:rPr>
          <w:rFonts w:ascii="Arial" w:hAnsi="Arial" w:cs="Calibri"/>
          <w:i/>
          <w:iCs/>
        </w:rPr>
        <w:t>This law directs employers with </w:t>
      </w:r>
      <w:r w:rsidRPr="002741AE">
        <w:rPr>
          <w:rFonts w:ascii="Arial" w:hAnsi="Arial" w:cs="Calibri"/>
          <w:bCs/>
          <w:i/>
          <w:iCs/>
        </w:rPr>
        <w:t>five or more employees</w:t>
      </w:r>
      <w:r w:rsidRPr="002741AE">
        <w:rPr>
          <w:rFonts w:ascii="Arial" w:hAnsi="Arial" w:cs="Calibri"/>
          <w:b/>
          <w:bCs/>
          <w:i/>
          <w:iCs/>
        </w:rPr>
        <w:t> </w:t>
      </w:r>
      <w:r w:rsidRPr="002741AE">
        <w:rPr>
          <w:rFonts w:ascii="Arial" w:hAnsi="Arial" w:cs="Calibri"/>
          <w:i/>
          <w:iCs/>
        </w:rPr>
        <w:t>to report positive COVID-19 tests to their Claim Administrator within </w:t>
      </w:r>
      <w:r w:rsidRPr="002741AE">
        <w:rPr>
          <w:rFonts w:ascii="Arial" w:hAnsi="Arial" w:cs="Calibri"/>
          <w:b/>
          <w:bCs/>
          <w:i/>
          <w:iCs/>
        </w:rPr>
        <w:t>three business days</w:t>
      </w:r>
      <w:r w:rsidRPr="002741AE">
        <w:rPr>
          <w:rFonts w:ascii="Arial" w:hAnsi="Arial" w:cs="Calibri"/>
          <w:i/>
          <w:iCs/>
        </w:rPr>
        <w:t> of receiving employee notification (see below). </w:t>
      </w:r>
    </w:p>
    <w:p w14:paraId="13545E28" w14:textId="77777777" w:rsidR="002741AE" w:rsidRPr="002741AE" w:rsidRDefault="002741AE" w:rsidP="002741AE">
      <w:pPr>
        <w:spacing w:before="240"/>
        <w:rPr>
          <w:rFonts w:ascii="Arial" w:hAnsi="Arial" w:cs="Calibri"/>
          <w:b/>
          <w:u w:val="single"/>
          <w:lang w:val="en"/>
        </w:rPr>
      </w:pPr>
      <w:r w:rsidRPr="002741AE">
        <w:rPr>
          <w:rFonts w:ascii="Arial" w:hAnsi="Arial" w:cs="Calibri"/>
          <w:b/>
          <w:u w:val="single"/>
          <w:lang w:val="en"/>
        </w:rPr>
        <w:t>There are potential sanctions and fines for failure to comply with reporting obligations and/ or for providing false or misleading information.</w:t>
      </w:r>
    </w:p>
    <w:p w14:paraId="26ACE32C" w14:textId="77777777" w:rsidR="002741AE" w:rsidRPr="002741AE" w:rsidRDefault="002741AE" w:rsidP="002741AE">
      <w:pPr>
        <w:spacing w:before="240"/>
        <w:rPr>
          <w:rFonts w:ascii="Arial" w:hAnsi="Arial" w:cs="Calibri"/>
          <w:lang w:val="en"/>
        </w:rPr>
      </w:pPr>
      <w:r w:rsidRPr="002741AE">
        <w:rPr>
          <w:rFonts w:ascii="Arial" w:hAnsi="Arial" w:cs="Calibri"/>
          <w:b/>
          <w:lang w:val="en"/>
        </w:rPr>
        <w:t xml:space="preserve">Note: </w:t>
      </w:r>
      <w:r w:rsidRPr="002741AE">
        <w:rPr>
          <w:rFonts w:ascii="Arial" w:hAnsi="Arial" w:cs="Calibri"/>
          <w:lang w:val="en"/>
        </w:rPr>
        <w:t xml:space="preserve">This law has formulaic components to determine when an employer location has an outbreak, which in turn may trigger “presumption” claim handling. </w:t>
      </w:r>
    </w:p>
    <w:p w14:paraId="5193E321" w14:textId="77777777" w:rsidR="002741AE" w:rsidRPr="002741AE" w:rsidRDefault="002741AE" w:rsidP="002741AE">
      <w:pPr>
        <w:spacing w:before="240"/>
        <w:rPr>
          <w:rFonts w:ascii="Arial" w:hAnsi="Arial" w:cs="Calibri"/>
          <w:b/>
          <w:lang w:val="en"/>
        </w:rPr>
      </w:pPr>
      <w:r w:rsidRPr="002741AE">
        <w:rPr>
          <w:rFonts w:ascii="Arial" w:hAnsi="Arial" w:cs="Calibri"/>
          <w:b/>
          <w:lang w:val="en"/>
        </w:rPr>
        <w:t xml:space="preserve">Two significant reporting obligations are set forth.   </w:t>
      </w:r>
    </w:p>
    <w:p w14:paraId="317D4227" w14:textId="77777777" w:rsidR="002741AE" w:rsidRPr="002741AE" w:rsidRDefault="002741AE" w:rsidP="002741AE">
      <w:pPr>
        <w:spacing w:before="240"/>
        <w:rPr>
          <w:rFonts w:ascii="Arial" w:hAnsi="Arial" w:cs="Calibri"/>
          <w:lang w:val="en"/>
        </w:rPr>
      </w:pPr>
      <w:r w:rsidRPr="002741AE">
        <w:rPr>
          <w:rFonts w:ascii="Arial" w:hAnsi="Arial" w:cs="Calibri"/>
          <w:b/>
          <w:i/>
          <w:u w:val="single"/>
          <w:lang w:val="en"/>
        </w:rPr>
        <w:t>1-Effective with this Section becoming law on September 17, 2020</w:t>
      </w:r>
      <w:r w:rsidRPr="002741AE">
        <w:rPr>
          <w:rFonts w:ascii="Arial" w:hAnsi="Arial" w:cs="Calibri"/>
          <w:b/>
          <w:lang w:val="en"/>
        </w:rPr>
        <w:t>: When an employer knows, or reasonably should know</w:t>
      </w:r>
      <w:r w:rsidRPr="002741AE">
        <w:rPr>
          <w:rFonts w:ascii="Arial" w:hAnsi="Arial" w:cs="Calibri"/>
          <w:lang w:val="en"/>
        </w:rPr>
        <w:t xml:space="preserve">, that an employee has tested positive for COVID-19, the employer shall report to their </w:t>
      </w:r>
      <w:proofErr w:type="gramStart"/>
      <w:r w:rsidRPr="002741AE">
        <w:rPr>
          <w:rFonts w:ascii="Arial" w:hAnsi="Arial" w:cs="Calibri"/>
          <w:lang w:val="en"/>
        </w:rPr>
        <w:t>claims</w:t>
      </w:r>
      <w:proofErr w:type="gramEnd"/>
      <w:r w:rsidRPr="002741AE">
        <w:rPr>
          <w:rFonts w:ascii="Arial" w:hAnsi="Arial" w:cs="Calibri"/>
          <w:lang w:val="en"/>
        </w:rPr>
        <w:t xml:space="preserve"> administrator (The Hartford, or your claims administrator as applicable) </w:t>
      </w:r>
      <w:r w:rsidRPr="002741AE">
        <w:rPr>
          <w:rFonts w:ascii="Arial" w:hAnsi="Arial" w:cs="Calibri"/>
          <w:u w:val="single"/>
          <w:lang w:val="en"/>
        </w:rPr>
        <w:t>in writing</w:t>
      </w:r>
      <w:r w:rsidRPr="002741AE">
        <w:rPr>
          <w:rFonts w:ascii="Arial" w:hAnsi="Arial" w:cs="Calibri"/>
          <w:lang w:val="en"/>
        </w:rPr>
        <w:t xml:space="preserve"> via electronic mail or facsimile within </w:t>
      </w:r>
      <w:r w:rsidRPr="002741AE">
        <w:rPr>
          <w:rFonts w:ascii="Arial" w:hAnsi="Arial" w:cs="Calibri"/>
          <w:b/>
          <w:i/>
          <w:lang w:val="en"/>
        </w:rPr>
        <w:t>three business days</w:t>
      </w:r>
      <w:r w:rsidRPr="002741AE">
        <w:rPr>
          <w:rFonts w:ascii="Arial" w:hAnsi="Arial" w:cs="Calibri"/>
          <w:lang w:val="en"/>
        </w:rPr>
        <w:t xml:space="preserve">, </w:t>
      </w:r>
      <w:r w:rsidRPr="002741AE">
        <w:rPr>
          <w:rFonts w:ascii="Arial" w:hAnsi="Arial" w:cs="Calibri"/>
          <w:b/>
          <w:i/>
          <w:lang w:val="en"/>
        </w:rPr>
        <w:t>all of the following</w:t>
      </w:r>
      <w:r w:rsidRPr="002741AE">
        <w:rPr>
          <w:rFonts w:ascii="Arial" w:hAnsi="Arial" w:cs="Calibri"/>
          <w:lang w:val="en"/>
        </w:rPr>
        <w:t>:</w:t>
      </w:r>
    </w:p>
    <w:p w14:paraId="2D5FB1DA" w14:textId="77777777" w:rsidR="002741AE" w:rsidRPr="002741AE" w:rsidRDefault="002741AE" w:rsidP="002741AE">
      <w:pPr>
        <w:spacing w:before="240"/>
        <w:rPr>
          <w:rFonts w:ascii="Arial" w:hAnsi="Arial" w:cs="Calibri"/>
          <w:lang w:val="en"/>
        </w:rPr>
      </w:pPr>
    </w:p>
    <w:p w14:paraId="4B36D050" w14:textId="77777777" w:rsidR="002741AE" w:rsidRPr="002741AE" w:rsidRDefault="002741AE" w:rsidP="002741AE">
      <w:pPr>
        <w:spacing w:before="240"/>
        <w:rPr>
          <w:rFonts w:ascii="Arial" w:hAnsi="Arial" w:cs="Calibri"/>
          <w:lang w:val="en"/>
        </w:rPr>
      </w:pPr>
      <w:r w:rsidRPr="002741AE">
        <w:rPr>
          <w:rFonts w:ascii="Arial" w:hAnsi="Arial" w:cs="Calibri"/>
          <w:lang w:val="en"/>
        </w:rPr>
        <w:t xml:space="preserve">---(1) An employee has tested positive. (For purposes of this reporting, the employer shall not provide any personally identifiable information regarding the employee who tested positive for COVID-19 </w:t>
      </w:r>
      <w:r w:rsidRPr="002741AE">
        <w:rPr>
          <w:rFonts w:ascii="Arial" w:hAnsi="Arial" w:cs="Calibri"/>
          <w:i/>
          <w:lang w:val="en"/>
        </w:rPr>
        <w:t xml:space="preserve">unless the employee asserts the infection is work </w:t>
      </w:r>
      <w:proofErr w:type="gramStart"/>
      <w:r w:rsidRPr="002741AE">
        <w:rPr>
          <w:rFonts w:ascii="Arial" w:hAnsi="Arial" w:cs="Calibri"/>
          <w:i/>
          <w:lang w:val="en"/>
        </w:rPr>
        <w:t>related, or</w:t>
      </w:r>
      <w:proofErr w:type="gramEnd"/>
      <w:r w:rsidRPr="002741AE">
        <w:rPr>
          <w:rFonts w:ascii="Arial" w:hAnsi="Arial" w:cs="Calibri"/>
          <w:i/>
          <w:lang w:val="en"/>
        </w:rPr>
        <w:t xml:space="preserve"> has filed a claim form pursuant to Section 5401</w:t>
      </w:r>
      <w:r w:rsidRPr="002741AE">
        <w:rPr>
          <w:rFonts w:ascii="Arial" w:hAnsi="Arial" w:cs="Calibri"/>
          <w:lang w:val="en"/>
        </w:rPr>
        <w:t>).</w:t>
      </w:r>
    </w:p>
    <w:p w14:paraId="10E257EB" w14:textId="77777777" w:rsidR="002741AE" w:rsidRPr="002741AE" w:rsidRDefault="002741AE" w:rsidP="002741AE">
      <w:pPr>
        <w:spacing w:before="240"/>
        <w:rPr>
          <w:rFonts w:ascii="Arial" w:hAnsi="Arial" w:cs="Calibri"/>
          <w:lang w:val="en"/>
        </w:rPr>
      </w:pPr>
      <w:r w:rsidRPr="002741AE">
        <w:rPr>
          <w:rFonts w:ascii="Arial" w:hAnsi="Arial" w:cs="Calibri"/>
          <w:lang w:val="en"/>
        </w:rPr>
        <w:t>---(2) The date that the employee tests positive, which is the date the specimen was collected for testing.</w:t>
      </w:r>
    </w:p>
    <w:p w14:paraId="56539774" w14:textId="77777777" w:rsidR="002741AE" w:rsidRPr="002741AE" w:rsidRDefault="002741AE" w:rsidP="002741AE">
      <w:pPr>
        <w:spacing w:before="240"/>
        <w:rPr>
          <w:rFonts w:ascii="Arial" w:hAnsi="Arial" w:cs="Calibri"/>
          <w:lang w:val="en"/>
        </w:rPr>
      </w:pPr>
      <w:r w:rsidRPr="002741AE">
        <w:rPr>
          <w:rFonts w:ascii="Arial" w:hAnsi="Arial" w:cs="Calibri"/>
          <w:lang w:val="en"/>
        </w:rPr>
        <w:t>---(3) The specific address or addresses of the employee’s specific place of employment during the 14-day period preceding the date of the employee’s positive test.</w:t>
      </w:r>
    </w:p>
    <w:p w14:paraId="5FE6291C" w14:textId="77777777" w:rsidR="002741AE" w:rsidRPr="002741AE" w:rsidRDefault="002741AE" w:rsidP="002741AE">
      <w:pPr>
        <w:spacing w:before="240"/>
        <w:rPr>
          <w:rFonts w:ascii="Arial" w:hAnsi="Arial" w:cs="Calibri"/>
          <w:lang w:val="en"/>
        </w:rPr>
      </w:pPr>
      <w:r w:rsidRPr="002741AE">
        <w:rPr>
          <w:rFonts w:ascii="Arial" w:hAnsi="Arial" w:cs="Calibri"/>
          <w:lang w:val="en"/>
        </w:rPr>
        <w:lastRenderedPageBreak/>
        <w:t>---(4) The highest number of employees who reported to work at the employee’s specific place of employment in the 45-day period preceding the last day the employee worked at each specific place of employment.</w:t>
      </w:r>
    </w:p>
    <w:p w14:paraId="1BC40D90" w14:textId="77777777" w:rsidR="002741AE" w:rsidRPr="002741AE" w:rsidRDefault="002741AE" w:rsidP="002741AE">
      <w:pPr>
        <w:spacing w:before="240"/>
        <w:rPr>
          <w:rFonts w:ascii="Arial" w:hAnsi="Arial" w:cs="Calibri"/>
          <w:lang w:val="en"/>
        </w:rPr>
      </w:pPr>
      <w:r w:rsidRPr="002741AE">
        <w:rPr>
          <w:rFonts w:ascii="Arial" w:hAnsi="Arial" w:cs="Calibri"/>
          <w:b/>
          <w:i/>
          <w:u w:val="single"/>
          <w:lang w:val="en"/>
        </w:rPr>
        <w:t>2-Additionally</w:t>
      </w:r>
      <w:r w:rsidRPr="002741AE">
        <w:rPr>
          <w:rFonts w:ascii="Arial" w:hAnsi="Arial" w:cs="Calibri"/>
          <w:lang w:val="en"/>
        </w:rPr>
        <w:t>, {“</w:t>
      </w:r>
      <w:r w:rsidRPr="002741AE">
        <w:rPr>
          <w:rFonts w:ascii="Arial" w:hAnsi="Arial" w:cs="Calibri"/>
          <w:i/>
          <w:lang w:val="en"/>
        </w:rPr>
        <w:t>as a catch-up</w:t>
      </w:r>
      <w:r w:rsidRPr="002741AE">
        <w:rPr>
          <w:rFonts w:ascii="Arial" w:hAnsi="Arial" w:cs="Calibri"/>
          <w:lang w:val="en"/>
        </w:rPr>
        <w:t xml:space="preserve">”} </w:t>
      </w:r>
      <w:r w:rsidRPr="002741AE">
        <w:rPr>
          <w:rFonts w:ascii="Arial" w:hAnsi="Arial" w:cs="Calibri"/>
          <w:b/>
          <w:lang w:val="en"/>
        </w:rPr>
        <w:t>any employer who is aware</w:t>
      </w:r>
      <w:r w:rsidRPr="002741AE">
        <w:rPr>
          <w:rFonts w:ascii="Arial" w:hAnsi="Arial" w:cs="Calibri"/>
          <w:lang w:val="en"/>
        </w:rPr>
        <w:t xml:space="preserve"> of an employee testing positive </w:t>
      </w:r>
      <w:r w:rsidRPr="002741AE">
        <w:rPr>
          <w:rFonts w:ascii="Arial" w:hAnsi="Arial" w:cs="Calibri"/>
          <w:i/>
          <w:lang w:val="en"/>
        </w:rPr>
        <w:t>on or after July 6, 2020, and prior to the effective date of this section (reference here-date of September 17, 2020)</w:t>
      </w:r>
      <w:r w:rsidRPr="002741AE">
        <w:rPr>
          <w:rFonts w:ascii="Arial" w:hAnsi="Arial" w:cs="Calibri"/>
          <w:lang w:val="en"/>
        </w:rPr>
        <w:t xml:space="preserve">, needs to report to The Hartford or your claims administrator, in writing via electronic mail or facsimile, within 30 business days of the effective date of this section </w:t>
      </w:r>
      <w:r w:rsidRPr="002741AE">
        <w:rPr>
          <w:rFonts w:ascii="Arial" w:hAnsi="Arial" w:cs="Calibri"/>
          <w:i/>
          <w:lang w:val="en"/>
        </w:rPr>
        <w:t>(again, beginning on September 17, 2020)</w:t>
      </w:r>
      <w:r w:rsidRPr="002741AE">
        <w:rPr>
          <w:rFonts w:ascii="Arial" w:hAnsi="Arial" w:cs="Calibri"/>
          <w:lang w:val="en"/>
        </w:rPr>
        <w:t xml:space="preserve">, </w:t>
      </w:r>
      <w:r w:rsidRPr="002741AE">
        <w:rPr>
          <w:rFonts w:ascii="Arial" w:hAnsi="Arial" w:cs="Calibri"/>
          <w:u w:val="single"/>
          <w:lang w:val="en"/>
        </w:rPr>
        <w:t>all of the data required in the section immediately above</w:t>
      </w:r>
      <w:r w:rsidRPr="002741AE">
        <w:rPr>
          <w:rFonts w:ascii="Arial" w:hAnsi="Arial" w:cs="Calibri"/>
          <w:lang w:val="en"/>
        </w:rPr>
        <w:t xml:space="preserve">. For the data required by the paragraph numbered (4) above, the employer must instead report the highest number of employees who reported to work at each of the employee’s specific places of employment on any given workday between </w:t>
      </w:r>
      <w:r w:rsidRPr="002741AE">
        <w:rPr>
          <w:rFonts w:ascii="Arial" w:hAnsi="Arial" w:cs="Calibri"/>
          <w:i/>
          <w:iCs/>
          <w:lang w:val="en"/>
        </w:rPr>
        <w:t>July 6, 2020</w:t>
      </w:r>
      <w:r w:rsidRPr="002741AE">
        <w:rPr>
          <w:rFonts w:ascii="Arial" w:hAnsi="Arial" w:cs="Calibri"/>
          <w:lang w:val="en"/>
        </w:rPr>
        <w:t xml:space="preserve">, and </w:t>
      </w:r>
      <w:r w:rsidRPr="002741AE">
        <w:rPr>
          <w:rFonts w:ascii="Arial" w:hAnsi="Arial" w:cs="Calibri"/>
          <w:i/>
          <w:lang w:val="en"/>
        </w:rPr>
        <w:t>September 17, 2020</w:t>
      </w:r>
      <w:r w:rsidRPr="002741AE">
        <w:rPr>
          <w:rFonts w:ascii="Arial" w:hAnsi="Arial" w:cs="Calibri"/>
          <w:lang w:val="en"/>
        </w:rPr>
        <w:t xml:space="preserve">. The Hartford uses the information reported under this paragraph to determine if an outbreak has occurred from July 6, 2020, to </w:t>
      </w:r>
      <w:r w:rsidRPr="002741AE">
        <w:rPr>
          <w:rFonts w:ascii="Arial" w:hAnsi="Arial" w:cs="Calibri"/>
          <w:i/>
          <w:lang w:val="en"/>
        </w:rPr>
        <w:t xml:space="preserve">September 17, 2020, </w:t>
      </w:r>
      <w:r w:rsidRPr="002741AE">
        <w:rPr>
          <w:rFonts w:ascii="Arial" w:hAnsi="Arial" w:cs="Calibri"/>
          <w:lang w:val="en"/>
        </w:rPr>
        <w:t>for the purpose of applying the presumption under this section.</w:t>
      </w:r>
    </w:p>
    <w:p w14:paraId="4B49007D" w14:textId="77777777" w:rsidR="002741AE" w:rsidRPr="002741AE" w:rsidRDefault="002741AE" w:rsidP="002741AE">
      <w:pPr>
        <w:spacing w:before="240"/>
        <w:rPr>
          <w:rFonts w:ascii="Arial" w:hAnsi="Arial" w:cs="Calibri"/>
          <w:lang w:val="en"/>
        </w:rPr>
      </w:pPr>
      <w:r w:rsidRPr="002741AE">
        <w:rPr>
          <w:rFonts w:ascii="Arial" w:hAnsi="Arial" w:cs="Calibri"/>
          <w:b/>
          <w:u w:val="single"/>
          <w:lang w:val="en"/>
        </w:rPr>
        <w:t>Definitions</w:t>
      </w:r>
      <w:r w:rsidRPr="002741AE">
        <w:rPr>
          <w:rFonts w:ascii="Arial" w:hAnsi="Arial" w:cs="Calibri"/>
          <w:lang w:val="en"/>
        </w:rPr>
        <w:t>: Some important definitions applicable to this Section 4 of the legislation are:</w:t>
      </w:r>
    </w:p>
    <w:p w14:paraId="4AA49792" w14:textId="77777777" w:rsidR="002741AE" w:rsidRPr="002741AE" w:rsidRDefault="002741AE" w:rsidP="002741AE">
      <w:pPr>
        <w:spacing w:before="240"/>
        <w:rPr>
          <w:rFonts w:ascii="Arial" w:hAnsi="Arial" w:cs="Calibri"/>
          <w:lang w:val="en"/>
        </w:rPr>
      </w:pPr>
      <w:r w:rsidRPr="002741AE">
        <w:rPr>
          <w:rFonts w:ascii="Arial" w:hAnsi="Arial" w:cs="Calibri"/>
          <w:b/>
          <w:lang w:val="en"/>
        </w:rPr>
        <w:t>“</w:t>
      </w:r>
      <w:r w:rsidRPr="002741AE">
        <w:rPr>
          <w:rFonts w:ascii="Arial" w:hAnsi="Arial" w:cs="Calibri"/>
          <w:b/>
          <w:u w:val="single"/>
          <w:lang w:val="en"/>
        </w:rPr>
        <w:t>Test</w:t>
      </w:r>
      <w:r w:rsidRPr="002741AE">
        <w:rPr>
          <w:rFonts w:ascii="Arial" w:hAnsi="Arial" w:cs="Calibri"/>
          <w:b/>
          <w:lang w:val="en"/>
        </w:rPr>
        <w:t>” or “</w:t>
      </w:r>
      <w:r w:rsidRPr="002741AE">
        <w:rPr>
          <w:rFonts w:ascii="Arial" w:hAnsi="Arial" w:cs="Calibri"/>
          <w:b/>
          <w:u w:val="single"/>
          <w:lang w:val="en"/>
        </w:rPr>
        <w:t>testing</w:t>
      </w:r>
      <w:r w:rsidRPr="002741AE">
        <w:rPr>
          <w:rFonts w:ascii="Arial" w:hAnsi="Arial" w:cs="Calibri"/>
          <w:b/>
          <w:lang w:val="en"/>
        </w:rPr>
        <w:t>”</w:t>
      </w:r>
      <w:r w:rsidRPr="002741AE">
        <w:rPr>
          <w:rFonts w:ascii="Arial" w:hAnsi="Arial" w:cs="Calibri"/>
          <w:lang w:val="en"/>
        </w:rPr>
        <w:t xml:space="preserve">: Generally, “test” or “testing” means a PCR (Polymerase Chain Reaction) test approved for use or approved for emergency use by the FDA to detect the presence of viral RNA. “Test” or “testing” </w:t>
      </w:r>
      <w:r w:rsidRPr="002741AE">
        <w:rPr>
          <w:rFonts w:ascii="Arial" w:hAnsi="Arial" w:cs="Calibri"/>
          <w:i/>
          <w:lang w:val="en"/>
        </w:rPr>
        <w:t>does not</w:t>
      </w:r>
      <w:r w:rsidRPr="002741AE">
        <w:rPr>
          <w:rFonts w:ascii="Arial" w:hAnsi="Arial" w:cs="Calibri"/>
          <w:lang w:val="en"/>
        </w:rPr>
        <w:t xml:space="preserve"> include serologic testing, also known as antibody testing. “Test” or “testing” may include any other viral culture test approved for use or approved for emergency use by the FDA to detect the presence of viral RNA which has the same or higher sensitivity and specificity as the PCR Test.</w:t>
      </w:r>
    </w:p>
    <w:p w14:paraId="2757A5EA" w14:textId="77777777" w:rsidR="002741AE" w:rsidRPr="002741AE" w:rsidRDefault="002741AE" w:rsidP="002741AE">
      <w:pPr>
        <w:spacing w:before="240"/>
        <w:rPr>
          <w:rFonts w:ascii="Arial" w:hAnsi="Arial" w:cs="Calibri"/>
          <w:lang w:val="en"/>
        </w:rPr>
      </w:pPr>
      <w:r w:rsidRPr="002741AE">
        <w:rPr>
          <w:rFonts w:ascii="Arial" w:hAnsi="Arial" w:cs="Calibri"/>
          <w:b/>
          <w:lang w:val="en"/>
        </w:rPr>
        <w:t xml:space="preserve">“A specific place of employment”: </w:t>
      </w:r>
      <w:r w:rsidRPr="002741AE">
        <w:rPr>
          <w:rFonts w:ascii="Arial" w:hAnsi="Arial" w:cs="Calibri"/>
          <w:lang w:val="en"/>
        </w:rPr>
        <w:t xml:space="preserve"> means the building, store, facility, or agricultural field where an employee performs work at the employer’s direction. “A specific place of employment” </w:t>
      </w:r>
      <w:r w:rsidRPr="002741AE">
        <w:rPr>
          <w:rFonts w:ascii="Arial" w:hAnsi="Arial" w:cs="Calibri"/>
          <w:i/>
          <w:lang w:val="en"/>
        </w:rPr>
        <w:t>does not</w:t>
      </w:r>
      <w:r w:rsidRPr="002741AE">
        <w:rPr>
          <w:rFonts w:ascii="Arial" w:hAnsi="Arial" w:cs="Calibri"/>
          <w:lang w:val="en"/>
        </w:rPr>
        <w:t xml:space="preserve"> include the employee’s home or residence unless the employee provides home health care services to another individual at the employee’s home or residence.  (In the case of an employee who performs work at the employer’s direction in multiple places of employment within 14 days of the employee’s positive test, the employee’s positive test shall be counted for the purpose of determining the existence of an outbreak at each of those places of employment, and if an outbreak exists at any one of those places of employment, that shall be the employee’s “specific place of employment.”)</w:t>
      </w:r>
    </w:p>
    <w:p w14:paraId="6884CEBB" w14:textId="77777777" w:rsidR="002741AE" w:rsidRPr="002741AE" w:rsidRDefault="002741AE" w:rsidP="002741AE">
      <w:pPr>
        <w:spacing w:before="240"/>
        <w:rPr>
          <w:rFonts w:ascii="Arial" w:hAnsi="Arial" w:cs="Calibri"/>
          <w:lang w:val="en"/>
        </w:rPr>
      </w:pPr>
      <w:r w:rsidRPr="002741AE">
        <w:rPr>
          <w:rFonts w:ascii="Arial" w:hAnsi="Arial" w:cs="Calibri"/>
          <w:b/>
          <w:lang w:val="en"/>
        </w:rPr>
        <w:t>“Outbreak”</w:t>
      </w:r>
      <w:r w:rsidRPr="002741AE">
        <w:rPr>
          <w:rFonts w:ascii="Arial" w:hAnsi="Arial" w:cs="Calibri"/>
          <w:lang w:val="en"/>
        </w:rPr>
        <w:t>:  An “outbreak” exists if, within 14 calendar days, one of the following occurs at a specific place of employment:</w:t>
      </w:r>
    </w:p>
    <w:p w14:paraId="49FBDC23" w14:textId="77777777" w:rsidR="002741AE" w:rsidRPr="002741AE" w:rsidRDefault="002741AE" w:rsidP="002741AE">
      <w:pPr>
        <w:spacing w:before="240"/>
        <w:rPr>
          <w:rFonts w:ascii="Arial" w:hAnsi="Arial" w:cs="Calibri"/>
          <w:lang w:val="en"/>
        </w:rPr>
      </w:pPr>
      <w:r w:rsidRPr="002741AE">
        <w:rPr>
          <w:rFonts w:ascii="Arial" w:hAnsi="Arial" w:cs="Calibri"/>
          <w:lang w:val="en"/>
        </w:rPr>
        <w:t xml:space="preserve">(A) If the employer has </w:t>
      </w:r>
      <w:r w:rsidRPr="002741AE">
        <w:rPr>
          <w:rFonts w:ascii="Arial" w:hAnsi="Arial" w:cs="Calibri"/>
          <w:i/>
          <w:u w:val="single"/>
          <w:lang w:val="en"/>
        </w:rPr>
        <w:t>100 employees or fewer</w:t>
      </w:r>
      <w:r w:rsidRPr="002741AE">
        <w:rPr>
          <w:rFonts w:ascii="Arial" w:hAnsi="Arial" w:cs="Calibri"/>
          <w:lang w:val="en"/>
        </w:rPr>
        <w:t xml:space="preserve"> at a specific place of employment, 4 employees test positive for COVID-19.</w:t>
      </w:r>
    </w:p>
    <w:p w14:paraId="5E38FC63" w14:textId="77777777" w:rsidR="002741AE" w:rsidRPr="002741AE" w:rsidRDefault="002741AE" w:rsidP="002741AE">
      <w:pPr>
        <w:spacing w:before="240"/>
        <w:rPr>
          <w:rFonts w:ascii="Arial" w:hAnsi="Arial" w:cs="Calibri"/>
          <w:lang w:val="en"/>
        </w:rPr>
      </w:pPr>
      <w:r w:rsidRPr="002741AE">
        <w:rPr>
          <w:rFonts w:ascii="Arial" w:hAnsi="Arial" w:cs="Calibri"/>
          <w:lang w:val="en"/>
        </w:rPr>
        <w:lastRenderedPageBreak/>
        <w:t xml:space="preserve">(B) If the employer has </w:t>
      </w:r>
      <w:r w:rsidRPr="002741AE">
        <w:rPr>
          <w:rFonts w:ascii="Arial" w:hAnsi="Arial" w:cs="Calibri"/>
          <w:i/>
          <w:u w:val="single"/>
          <w:lang w:val="en"/>
        </w:rPr>
        <w:t>more than 100 employees at a specific place of employment</w:t>
      </w:r>
      <w:r w:rsidRPr="002741AE">
        <w:rPr>
          <w:rFonts w:ascii="Arial" w:hAnsi="Arial" w:cs="Calibri"/>
          <w:lang w:val="en"/>
        </w:rPr>
        <w:t>, 4 percent of the number of employees who reported to the specific place of employment, test positive for COVID-19.</w:t>
      </w:r>
    </w:p>
    <w:p w14:paraId="4B373B5B" w14:textId="77777777" w:rsidR="002741AE" w:rsidRPr="002741AE" w:rsidRDefault="002741AE" w:rsidP="002741AE">
      <w:pPr>
        <w:spacing w:before="240"/>
        <w:rPr>
          <w:rFonts w:ascii="Arial" w:hAnsi="Arial" w:cs="Calibri"/>
          <w:lang w:val="en"/>
        </w:rPr>
      </w:pPr>
      <w:r w:rsidRPr="002741AE">
        <w:rPr>
          <w:rFonts w:ascii="Arial" w:hAnsi="Arial" w:cs="Calibri"/>
          <w:lang w:val="en"/>
        </w:rPr>
        <w:t>(C) A specific place of employment is ordered to close by a local public health department, the State Department of Public Health, the Division of Occupational Safety and Health, or a school superintendent due to a risk of infection with COVID-19.</w:t>
      </w:r>
    </w:p>
    <w:p w14:paraId="20ECE049" w14:textId="77777777" w:rsidR="002741AE" w:rsidRPr="002741AE" w:rsidRDefault="002741AE" w:rsidP="002741AE">
      <w:pPr>
        <w:spacing w:before="240"/>
        <w:rPr>
          <w:rFonts w:ascii="Arial" w:hAnsi="Arial" w:cs="Calibri"/>
          <w:lang w:val="en"/>
        </w:rPr>
      </w:pPr>
      <w:r w:rsidRPr="002741AE">
        <w:rPr>
          <w:rFonts w:ascii="Arial" w:hAnsi="Arial" w:cs="Calibri"/>
          <w:b/>
          <w:bCs/>
          <w:lang w:val="en"/>
        </w:rPr>
        <w:t>Finally,</w:t>
      </w:r>
      <w:r w:rsidRPr="002741AE">
        <w:rPr>
          <w:rFonts w:ascii="Arial" w:hAnsi="Arial" w:cs="Calibri"/>
          <w:lang w:val="en"/>
        </w:rPr>
        <w:t xml:space="preserve"> the legislation </w:t>
      </w:r>
      <w:r w:rsidRPr="002741AE">
        <w:rPr>
          <w:rFonts w:ascii="Arial" w:hAnsi="Arial" w:cs="Calibri"/>
          <w:i/>
          <w:iCs/>
          <w:lang w:val="en"/>
        </w:rPr>
        <w:t xml:space="preserve">previously known as “AB 685” </w:t>
      </w:r>
      <w:r w:rsidRPr="002741AE">
        <w:rPr>
          <w:rFonts w:ascii="Arial" w:hAnsi="Arial" w:cs="Calibri"/>
          <w:lang w:val="en"/>
        </w:rPr>
        <w:t xml:space="preserve">contained in the Labor Code, was effective for employer action </w:t>
      </w:r>
      <w:r w:rsidRPr="002741AE">
        <w:rPr>
          <w:rFonts w:ascii="Arial" w:hAnsi="Arial" w:cs="Calibri"/>
          <w:b/>
          <w:lang w:val="en"/>
        </w:rPr>
        <w:t xml:space="preserve">January 1, </w:t>
      </w:r>
      <w:proofErr w:type="gramStart"/>
      <w:r w:rsidRPr="002741AE">
        <w:rPr>
          <w:rFonts w:ascii="Arial" w:hAnsi="Arial" w:cs="Calibri"/>
          <w:b/>
          <w:lang w:val="en"/>
        </w:rPr>
        <w:t>2021:</w:t>
      </w:r>
      <w:r w:rsidRPr="002741AE">
        <w:rPr>
          <w:rFonts w:ascii="Arial" w:hAnsi="Arial" w:cs="Calibri"/>
          <w:lang w:val="en"/>
        </w:rPr>
        <w:t>.</w:t>
      </w:r>
      <w:proofErr w:type="gramEnd"/>
    </w:p>
    <w:p w14:paraId="3A651C46" w14:textId="77777777" w:rsidR="002741AE" w:rsidRPr="002741AE" w:rsidRDefault="002741AE" w:rsidP="002741AE">
      <w:pPr>
        <w:numPr>
          <w:ilvl w:val="0"/>
          <w:numId w:val="5"/>
        </w:numPr>
        <w:spacing w:before="240"/>
        <w:rPr>
          <w:rFonts w:ascii="Arial" w:hAnsi="Arial" w:cs="Calibri"/>
        </w:rPr>
      </w:pPr>
      <w:r w:rsidRPr="002741AE">
        <w:rPr>
          <w:rFonts w:ascii="Arial" w:hAnsi="Arial" w:cs="Calibri"/>
        </w:rPr>
        <w:t xml:space="preserve">Required both public and private employers, </w:t>
      </w:r>
      <w:r w:rsidRPr="002741AE">
        <w:rPr>
          <w:rFonts w:ascii="Arial" w:hAnsi="Arial" w:cs="Calibri"/>
          <w:u w:val="single"/>
        </w:rPr>
        <w:t>within 1 business day</w:t>
      </w:r>
      <w:r w:rsidRPr="002741AE">
        <w:rPr>
          <w:rFonts w:ascii="Arial" w:hAnsi="Arial" w:cs="Calibri"/>
        </w:rPr>
        <w:t>, to notify employees, (including</w:t>
      </w:r>
      <w:r w:rsidRPr="002741AE">
        <w:rPr>
          <w:rFonts w:ascii="Arial" w:hAnsi="Arial" w:cs="Calibri"/>
          <w:lang w:val="en"/>
        </w:rPr>
        <w:t xml:space="preserve">the employers of subcontracted employees), </w:t>
      </w:r>
      <w:r w:rsidRPr="002741AE">
        <w:rPr>
          <w:rFonts w:ascii="Arial" w:hAnsi="Arial" w:cs="Calibri"/>
        </w:rPr>
        <w:t xml:space="preserve">in writing of any </w:t>
      </w:r>
      <w:r w:rsidRPr="002741AE">
        <w:rPr>
          <w:rFonts w:ascii="Arial" w:hAnsi="Arial" w:cs="Calibri"/>
          <w:b/>
        </w:rPr>
        <w:t>potential</w:t>
      </w:r>
      <w:r w:rsidRPr="002741AE">
        <w:rPr>
          <w:rFonts w:ascii="Arial" w:hAnsi="Arial" w:cs="Calibri"/>
        </w:rPr>
        <w:t xml:space="preserve"> exposure to COVID-19 from a “qualifying individual”, including:</w:t>
      </w:r>
    </w:p>
    <w:p w14:paraId="53FA7568" w14:textId="77777777" w:rsidR="002741AE" w:rsidRPr="002741AE" w:rsidRDefault="002741AE" w:rsidP="002741AE">
      <w:pPr>
        <w:numPr>
          <w:ilvl w:val="0"/>
          <w:numId w:val="5"/>
        </w:numPr>
        <w:spacing w:before="240"/>
        <w:rPr>
          <w:rFonts w:ascii="Arial" w:hAnsi="Arial" w:cs="Calibri"/>
        </w:rPr>
      </w:pPr>
      <w:r w:rsidRPr="002741AE">
        <w:rPr>
          <w:rFonts w:ascii="Arial" w:hAnsi="Arial" w:cs="Calibri"/>
        </w:rPr>
        <w:t>instructions/referral to contact the local health department for testing</w:t>
      </w:r>
    </w:p>
    <w:p w14:paraId="4A76F7AA" w14:textId="77777777" w:rsidR="002741AE" w:rsidRPr="002741AE" w:rsidRDefault="002741AE" w:rsidP="002741AE">
      <w:pPr>
        <w:numPr>
          <w:ilvl w:val="0"/>
          <w:numId w:val="5"/>
        </w:numPr>
        <w:spacing w:before="240"/>
        <w:rPr>
          <w:rFonts w:ascii="Arial" w:hAnsi="Arial" w:cs="Calibri"/>
        </w:rPr>
      </w:pPr>
      <w:r w:rsidRPr="002741AE">
        <w:rPr>
          <w:rFonts w:ascii="Arial" w:hAnsi="Arial" w:cs="Calibri"/>
        </w:rPr>
        <w:t>instructions for isolation, home quarantine, and monitoring of symptoms</w:t>
      </w:r>
    </w:p>
    <w:p w14:paraId="51080947" w14:textId="77777777" w:rsidR="002741AE" w:rsidRPr="002741AE" w:rsidRDefault="002741AE" w:rsidP="002741AE">
      <w:pPr>
        <w:numPr>
          <w:ilvl w:val="0"/>
          <w:numId w:val="5"/>
        </w:numPr>
        <w:spacing w:before="240"/>
        <w:rPr>
          <w:rFonts w:ascii="Arial" w:hAnsi="Arial" w:cs="Calibri"/>
        </w:rPr>
      </w:pPr>
      <w:r w:rsidRPr="002741AE">
        <w:rPr>
          <w:rFonts w:ascii="Arial" w:hAnsi="Arial" w:cs="Calibri"/>
        </w:rPr>
        <w:t>available rights under applicable state, federal, or local laws (including sick leave, workers’ compensation, anti-retaliation, anti-discrimination)</w:t>
      </w:r>
    </w:p>
    <w:p w14:paraId="3C58BE70" w14:textId="77777777" w:rsidR="002741AE" w:rsidRPr="002741AE" w:rsidRDefault="002741AE" w:rsidP="002741AE">
      <w:pPr>
        <w:numPr>
          <w:ilvl w:val="0"/>
          <w:numId w:val="5"/>
        </w:numPr>
        <w:spacing w:before="240"/>
        <w:rPr>
          <w:rFonts w:ascii="Arial" w:hAnsi="Arial" w:cs="Calibri"/>
        </w:rPr>
      </w:pPr>
      <w:r w:rsidRPr="002741AE">
        <w:rPr>
          <w:rFonts w:ascii="Arial" w:hAnsi="Arial" w:cs="Calibri"/>
        </w:rPr>
        <w:t>cleaning, disinfecting, and safety plans</w:t>
      </w:r>
    </w:p>
    <w:p w14:paraId="338E99C4" w14:textId="77777777" w:rsidR="002741AE" w:rsidRPr="002741AE" w:rsidRDefault="002741AE" w:rsidP="002741AE">
      <w:pPr>
        <w:spacing w:before="240"/>
        <w:rPr>
          <w:rFonts w:ascii="Arial" w:hAnsi="Arial" w:cs="Calibri"/>
        </w:rPr>
      </w:pPr>
      <w:r w:rsidRPr="002741AE">
        <w:rPr>
          <w:rFonts w:ascii="Arial" w:hAnsi="Arial" w:cs="Calibri"/>
        </w:rPr>
        <w:t xml:space="preserve">                     </w:t>
      </w:r>
    </w:p>
    <w:p w14:paraId="00ADCE32" w14:textId="77777777" w:rsidR="002741AE" w:rsidRPr="002741AE" w:rsidRDefault="002741AE" w:rsidP="002741AE">
      <w:pPr>
        <w:spacing w:before="240"/>
        <w:rPr>
          <w:rFonts w:ascii="Arial" w:hAnsi="Arial" w:cs="Calibri"/>
        </w:rPr>
      </w:pPr>
      <w:r w:rsidRPr="002741AE">
        <w:rPr>
          <w:rFonts w:ascii="Arial" w:hAnsi="Arial" w:cs="Calibri"/>
        </w:rPr>
        <w:t xml:space="preserve">           Also included are provisions for:</w:t>
      </w:r>
    </w:p>
    <w:p w14:paraId="26CC0D69" w14:textId="77777777" w:rsidR="002741AE" w:rsidRPr="002741AE" w:rsidRDefault="002741AE" w:rsidP="002741AE">
      <w:pPr>
        <w:numPr>
          <w:ilvl w:val="0"/>
          <w:numId w:val="5"/>
        </w:numPr>
        <w:spacing w:before="240"/>
        <w:rPr>
          <w:rFonts w:ascii="Arial" w:hAnsi="Arial" w:cs="Calibri"/>
        </w:rPr>
      </w:pPr>
      <w:r w:rsidRPr="002741AE">
        <w:rPr>
          <w:rFonts w:ascii="Arial" w:hAnsi="Arial" w:cs="Calibri"/>
        </w:rPr>
        <w:t>required reports of outbreaks</w:t>
      </w:r>
    </w:p>
    <w:p w14:paraId="7D2B464A" w14:textId="77777777" w:rsidR="002741AE" w:rsidRPr="002741AE" w:rsidRDefault="002741AE" w:rsidP="002741AE">
      <w:pPr>
        <w:numPr>
          <w:ilvl w:val="0"/>
          <w:numId w:val="5"/>
        </w:numPr>
        <w:spacing w:before="240"/>
        <w:rPr>
          <w:rFonts w:ascii="Arial" w:hAnsi="Arial" w:cs="Calibri"/>
        </w:rPr>
      </w:pPr>
      <w:r w:rsidRPr="002741AE">
        <w:rPr>
          <w:rFonts w:ascii="Arial" w:hAnsi="Arial" w:cs="Calibri"/>
        </w:rPr>
        <w:t xml:space="preserve">obligation of </w:t>
      </w:r>
      <w:r w:rsidRPr="002741AE">
        <w:rPr>
          <w:rFonts w:ascii="Arial" w:hAnsi="Arial" w:cs="Calibri"/>
          <w:lang w:val="en"/>
        </w:rPr>
        <w:t>the State Department of Public Health to make specified information on outbreaks publicly available on its internet website</w:t>
      </w:r>
    </w:p>
    <w:p w14:paraId="003485BA" w14:textId="77777777" w:rsidR="002741AE" w:rsidRPr="002741AE" w:rsidRDefault="002741AE" w:rsidP="002741AE">
      <w:pPr>
        <w:numPr>
          <w:ilvl w:val="0"/>
          <w:numId w:val="5"/>
        </w:numPr>
        <w:spacing w:before="240"/>
        <w:rPr>
          <w:rFonts w:ascii="Arial" w:hAnsi="Arial" w:cs="Calibri"/>
        </w:rPr>
      </w:pPr>
      <w:r w:rsidRPr="002741AE">
        <w:rPr>
          <w:rFonts w:ascii="Arial" w:hAnsi="Arial" w:cs="Calibri"/>
        </w:rPr>
        <w:t>employer record keeping requirements</w:t>
      </w:r>
    </w:p>
    <w:p w14:paraId="79FADD99" w14:textId="77777777" w:rsidR="002741AE" w:rsidRPr="002741AE" w:rsidRDefault="002741AE" w:rsidP="002741AE">
      <w:pPr>
        <w:spacing w:before="240"/>
        <w:rPr>
          <w:rFonts w:ascii="Arial" w:hAnsi="Arial" w:cs="Calibri"/>
        </w:rPr>
      </w:pPr>
    </w:p>
    <w:p w14:paraId="28143D28" w14:textId="77777777" w:rsidR="002741AE" w:rsidRPr="002741AE" w:rsidRDefault="002741AE" w:rsidP="002741AE">
      <w:pPr>
        <w:spacing w:before="240"/>
        <w:rPr>
          <w:rFonts w:ascii="Arial" w:hAnsi="Arial" w:cs="Calibri"/>
        </w:rPr>
      </w:pPr>
      <w:r w:rsidRPr="002741AE">
        <w:rPr>
          <w:rFonts w:ascii="Arial" w:hAnsi="Arial" w:cs="Calibri"/>
        </w:rPr>
        <w:t>If imminent hazards/risk of COVID-19 infection is found, the Division of Workers’ Compensation may require posting of notice of dangerous condition, or prohibit entry</w:t>
      </w:r>
    </w:p>
    <w:p w14:paraId="2B7AF216" w14:textId="77777777" w:rsidR="002741AE" w:rsidRPr="002741AE" w:rsidRDefault="002741AE" w:rsidP="002741AE">
      <w:pPr>
        <w:spacing w:before="240"/>
        <w:rPr>
          <w:rFonts w:ascii="Arial" w:hAnsi="Arial" w:cs="Calibri"/>
          <w:b/>
          <w:bCs/>
          <w:lang w:val="en"/>
        </w:rPr>
      </w:pPr>
    </w:p>
    <w:p w14:paraId="26A60591" w14:textId="77777777" w:rsidR="002741AE" w:rsidRPr="002741AE" w:rsidRDefault="002741AE" w:rsidP="002741AE">
      <w:pPr>
        <w:numPr>
          <w:ilvl w:val="0"/>
          <w:numId w:val="5"/>
        </w:numPr>
        <w:spacing w:before="240"/>
        <w:rPr>
          <w:rFonts w:ascii="Arial" w:hAnsi="Arial" w:cs="Calibri"/>
          <w:b/>
          <w:bCs/>
          <w:lang w:val="en"/>
        </w:rPr>
      </w:pPr>
      <w:r w:rsidRPr="002741AE">
        <w:rPr>
          <w:rFonts w:ascii="Arial" w:hAnsi="Arial" w:cs="Calibri"/>
          <w:lang w:val="en"/>
        </w:rPr>
        <w:lastRenderedPageBreak/>
        <w:t>Certain exemptions exist for a “health facility,” as defined in Section 1250 of the Health and Safety Code</w:t>
      </w:r>
    </w:p>
    <w:p w14:paraId="4A3061C5" w14:textId="77777777" w:rsidR="002741AE" w:rsidRPr="002741AE" w:rsidRDefault="002741AE" w:rsidP="002741AE">
      <w:pPr>
        <w:spacing w:before="240"/>
        <w:rPr>
          <w:rFonts w:ascii="Arial" w:hAnsi="Arial" w:cs="Calibri"/>
          <w:lang w:val="en"/>
        </w:rPr>
      </w:pPr>
    </w:p>
    <w:p w14:paraId="3D239117" w14:textId="77777777" w:rsidR="002741AE" w:rsidRPr="002741AE" w:rsidRDefault="002741AE" w:rsidP="002741AE">
      <w:pPr>
        <w:spacing w:before="240"/>
        <w:rPr>
          <w:rFonts w:ascii="Arial" w:hAnsi="Arial" w:cs="Calibri"/>
          <w:b/>
          <w:bCs/>
          <w:lang w:val="en"/>
        </w:rPr>
      </w:pPr>
      <w:r w:rsidRPr="002741AE">
        <w:rPr>
          <w:rFonts w:ascii="Arial" w:hAnsi="Arial" w:cs="Calibri"/>
          <w:b/>
          <w:lang w:val="en"/>
        </w:rPr>
        <w:t xml:space="preserve">Employer sanctions for non-compliance exist; </w:t>
      </w:r>
      <w:r w:rsidRPr="002741AE">
        <w:rPr>
          <w:rFonts w:ascii="Arial" w:hAnsi="Arial" w:cs="Calibri"/>
          <w:lang w:val="en"/>
        </w:rPr>
        <w:t xml:space="preserve">(It should be noted: the definition of “outbreak” under the Department of Health varies from the definition used in the legislation SB 1159; employers should ensure compliance here). </w:t>
      </w:r>
    </w:p>
    <w:p w14:paraId="188206FC" w14:textId="77777777" w:rsidR="002741AE" w:rsidRPr="002741AE" w:rsidRDefault="002741AE" w:rsidP="002741AE">
      <w:pPr>
        <w:spacing w:before="240"/>
        <w:rPr>
          <w:rFonts w:ascii="Arial" w:hAnsi="Arial" w:cs="Calibri"/>
          <w:b/>
          <w:i/>
          <w:lang w:val="en"/>
        </w:rPr>
      </w:pPr>
    </w:p>
    <w:p w14:paraId="4F52AD0A" w14:textId="77777777" w:rsidR="002741AE" w:rsidRPr="002741AE" w:rsidRDefault="002741AE" w:rsidP="002741AE">
      <w:pPr>
        <w:spacing w:before="240"/>
        <w:rPr>
          <w:rFonts w:ascii="Arial" w:hAnsi="Arial" w:cs="Calibri"/>
          <w:b/>
          <w:i/>
          <w:lang w:val="en"/>
        </w:rPr>
      </w:pPr>
    </w:p>
    <w:p w14:paraId="31C53B04" w14:textId="77777777" w:rsidR="002741AE" w:rsidRPr="002741AE" w:rsidRDefault="002741AE" w:rsidP="002741AE">
      <w:pPr>
        <w:spacing w:before="240"/>
        <w:rPr>
          <w:rFonts w:ascii="Arial" w:hAnsi="Arial" w:cs="Calibri"/>
          <w:b/>
          <w:i/>
          <w:lang w:val="en"/>
        </w:rPr>
      </w:pPr>
    </w:p>
    <w:p w14:paraId="7675CEE2" w14:textId="77777777" w:rsidR="002741AE" w:rsidRPr="002741AE" w:rsidRDefault="002741AE" w:rsidP="002741AE">
      <w:pPr>
        <w:spacing w:before="240"/>
        <w:rPr>
          <w:rFonts w:ascii="Arial" w:hAnsi="Arial" w:cs="Calibri"/>
          <w:b/>
          <w:i/>
          <w:lang w:val="en"/>
        </w:rPr>
      </w:pPr>
    </w:p>
    <w:p w14:paraId="208EAA6A" w14:textId="77777777" w:rsidR="002741AE" w:rsidRPr="002741AE" w:rsidRDefault="002741AE" w:rsidP="002741AE">
      <w:pPr>
        <w:spacing w:before="240"/>
        <w:rPr>
          <w:rFonts w:ascii="Arial" w:hAnsi="Arial" w:cs="Calibri"/>
          <w:b/>
          <w:i/>
          <w:lang w:val="en"/>
        </w:rPr>
      </w:pPr>
    </w:p>
    <w:p w14:paraId="1C2C7728" w14:textId="77777777" w:rsidR="002741AE" w:rsidRPr="002741AE" w:rsidRDefault="002741AE" w:rsidP="002741AE">
      <w:pPr>
        <w:spacing w:before="240"/>
        <w:rPr>
          <w:rFonts w:ascii="Arial" w:hAnsi="Arial" w:cs="Calibri"/>
          <w:b/>
          <w:i/>
          <w:lang w:val="en"/>
        </w:rPr>
      </w:pPr>
    </w:p>
    <w:p w14:paraId="70E3FA6B" w14:textId="77777777" w:rsidR="002741AE" w:rsidRPr="002741AE" w:rsidRDefault="002741AE" w:rsidP="002741AE">
      <w:pPr>
        <w:spacing w:before="240"/>
        <w:rPr>
          <w:rFonts w:ascii="Arial" w:hAnsi="Arial" w:cs="Calibri"/>
          <w:b/>
          <w:i/>
          <w:lang w:val="en"/>
        </w:rPr>
      </w:pPr>
    </w:p>
    <w:p w14:paraId="750AC03F" w14:textId="77777777" w:rsidR="005457BA" w:rsidRDefault="002741AE" w:rsidP="0085202B">
      <w:pPr>
        <w:spacing w:before="240"/>
        <w:rPr>
          <w:rFonts w:ascii="Arial" w:hAnsi="Arial" w:cs="Calibri"/>
        </w:rPr>
        <w:sectPr w:rsidR="005457BA" w:rsidSect="005457BA">
          <w:headerReference w:type="default" r:id="rId18"/>
          <w:footerReference w:type="even" r:id="rId19"/>
          <w:footerReference w:type="default" r:id="rId20"/>
          <w:headerReference w:type="first" r:id="rId21"/>
          <w:footerReference w:type="first" r:id="rId22"/>
          <w:pgSz w:w="12240" w:h="15840"/>
          <w:pgMar w:top="3060" w:right="1440" w:bottom="1260" w:left="1440" w:header="0" w:footer="540" w:gutter="0"/>
          <w:cols w:space="720"/>
          <w:titlePg/>
          <w:docGrid w:linePitch="360"/>
        </w:sectPr>
      </w:pPr>
      <w:r w:rsidRPr="002741AE">
        <w:rPr>
          <w:rFonts w:ascii="Arial" w:hAnsi="Arial" w:cs="Calibri"/>
          <w:b/>
          <w:i/>
          <w:lang w:val="en"/>
        </w:rPr>
        <w:t>(</w:t>
      </w:r>
      <w:proofErr w:type="gramStart"/>
      <w:r w:rsidRPr="002741AE">
        <w:rPr>
          <w:rFonts w:ascii="Arial" w:hAnsi="Arial" w:cs="Calibri"/>
          <w:b/>
          <w:i/>
          <w:lang w:val="en"/>
        </w:rPr>
        <w:t>rev</w:t>
      </w:r>
      <w:proofErr w:type="gramEnd"/>
      <w:r w:rsidRPr="002741AE">
        <w:rPr>
          <w:rFonts w:ascii="Arial" w:hAnsi="Arial" w:cs="Calibri"/>
          <w:b/>
          <w:i/>
          <w:lang w:val="en"/>
        </w:rPr>
        <w:t>: Dec 8, 2022)</w:t>
      </w:r>
    </w:p>
    <w:p w14:paraId="387E27F3" w14:textId="77777777" w:rsidR="00EA79A7" w:rsidRPr="001E04FC" w:rsidRDefault="00EA79A7" w:rsidP="000C3AC0">
      <w:pPr>
        <w:rPr>
          <w:rFonts w:ascii="Arial" w:hAnsi="Arial" w:cs="Calibri"/>
        </w:rPr>
      </w:pPr>
    </w:p>
    <w:sectPr w:rsidR="00EA79A7" w:rsidRPr="001E04FC" w:rsidSect="005457BA">
      <w:headerReference w:type="even" r:id="rId23"/>
      <w:headerReference w:type="default" r:id="rId24"/>
      <w:footerReference w:type="even" r:id="rId25"/>
      <w:footerReference w:type="default" r:id="rId26"/>
      <w:headerReference w:type="first" r:id="rId27"/>
      <w:footerReference w:type="first" r:id="rId28"/>
      <w:pgSz w:w="12240" w:h="15840"/>
      <w:pgMar w:top="1728" w:right="1440" w:bottom="1267" w:left="1440" w:header="0" w:footer="54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A2C7E" w14:textId="77777777" w:rsidR="00EA6F5B" w:rsidRDefault="00EA6F5B" w:rsidP="00A91F5E">
      <w:pPr>
        <w:spacing w:after="0" w:line="240" w:lineRule="auto"/>
      </w:pPr>
      <w:r>
        <w:separator/>
      </w:r>
    </w:p>
  </w:endnote>
  <w:endnote w:type="continuationSeparator" w:id="0">
    <w:p w14:paraId="3758310C" w14:textId="77777777" w:rsidR="00EA6F5B" w:rsidRDefault="00EA6F5B" w:rsidP="00A91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C2801" w14:textId="77777777" w:rsidR="00FE3EF2" w:rsidRPr="003C5620" w:rsidRDefault="003C5620" w:rsidP="003C5620">
    <w:pPr>
      <w:pStyle w:val="Footer"/>
      <w:jc w:val="center"/>
    </w:pPr>
    <w:r>
      <w:rPr>
        <w:rFonts w:ascii="Arial" w:hAnsi="Arial" w:cs="Arial"/>
      </w:rPr>
      <w:fldChar w:fldCharType="begin" w:fldLock="1"/>
    </w:r>
    <w:r>
      <w:rPr>
        <w:rFonts w:ascii="Arial" w:hAnsi="Arial" w:cs="Arial"/>
      </w:rPr>
      <w:instrText xml:space="preserve"> DOCPROPERTY bjFooterEvenPageDocProperty \* MERGEFORMAT </w:instrText>
    </w:r>
    <w:r>
      <w:rPr>
        <w:rFonts w:ascii="Arial" w:hAnsi="Arial" w:cs="Arial"/>
      </w:rPr>
      <w:fldChar w:fldCharType="separate"/>
    </w:r>
    <w:r w:rsidRPr="007D5F2A">
      <w:rPr>
        <w:rFonts w:ascii="Arial" w:hAnsi="Arial" w:cs="Arial"/>
        <w:i/>
        <w:color w:val="000000"/>
        <w:sz w:val="12"/>
        <w:szCs w:val="12"/>
      </w:rPr>
      <w:t xml:space="preserve">© 2021 by The Hartford. Classification: Company Confidential. No part of this document may be reproduced, </w:t>
    </w:r>
    <w:proofErr w:type="gramStart"/>
    <w:r w:rsidRPr="007D5F2A">
      <w:rPr>
        <w:rFonts w:ascii="Arial" w:hAnsi="Arial" w:cs="Arial"/>
        <w:i/>
        <w:color w:val="000000"/>
        <w:sz w:val="12"/>
        <w:szCs w:val="12"/>
      </w:rPr>
      <w:t>published</w:t>
    </w:r>
    <w:proofErr w:type="gramEnd"/>
    <w:r w:rsidRPr="007D5F2A">
      <w:rPr>
        <w:rFonts w:ascii="Arial" w:hAnsi="Arial" w:cs="Arial"/>
        <w:i/>
        <w:color w:val="000000"/>
        <w:sz w:val="12"/>
        <w:szCs w:val="12"/>
      </w:rPr>
      <w:t xml:space="preserve"> or used without the permission of The Hartford.</w:t>
    </w:r>
    <w:r>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70AC5" w14:textId="77777777" w:rsidR="000C3AC0" w:rsidRPr="003C5620" w:rsidRDefault="004245F6" w:rsidP="003C5620">
    <w:pPr>
      <w:pStyle w:val="Footer"/>
      <w:jc w:val="center"/>
    </w:pPr>
    <w:r>
      <w:rPr>
        <w:noProof/>
      </w:rPr>
      <mc:AlternateContent>
        <mc:Choice Requires="wps">
          <w:drawing>
            <wp:anchor distT="0" distB="0" distL="114300" distR="114300" simplePos="0" relativeHeight="251673087" behindDoc="0" locked="0" layoutInCell="0" allowOverlap="1" wp14:anchorId="77F29DE9" wp14:editId="09509374">
              <wp:simplePos x="0" y="0"/>
              <wp:positionH relativeFrom="page">
                <wp:posOffset>0</wp:posOffset>
              </wp:positionH>
              <wp:positionV relativeFrom="page">
                <wp:posOffset>9321165</wp:posOffset>
              </wp:positionV>
              <wp:extent cx="7772400" cy="546735"/>
              <wp:effectExtent l="0" t="0" r="0" b="5715"/>
              <wp:wrapNone/>
              <wp:docPr id="3" name="MSIPCMd7be493cb0c658f2ed7136d1" descr="{&quot;HashCode&quot;:87794999,&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4673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498C0F" w14:textId="6569339C" w:rsidR="004245F6" w:rsidRPr="005211E0" w:rsidRDefault="005211E0" w:rsidP="005211E0">
                          <w:pPr>
                            <w:spacing w:after="0"/>
                            <w:jc w:val="center"/>
                            <w:rPr>
                              <w:rFonts w:ascii="Calibri" w:hAnsi="Calibri" w:cs="Calibri"/>
                              <w:color w:val="000000"/>
                              <w:sz w:val="12"/>
                            </w:rPr>
                          </w:pPr>
                          <w:r w:rsidRPr="005211E0">
                            <w:rPr>
                              <w:rFonts w:ascii="Calibri" w:hAnsi="Calibri" w:cs="Calibri"/>
                              <w:color w:val="000000"/>
                              <w:sz w:val="12"/>
                            </w:rPr>
                            <w:t>© 2023 by The Hartford. Classification: Company Confidential. No part of this document may be reproduced, published, or used without the permission of The Hartford.</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7F29DE9" id="_x0000_t202" coordsize="21600,21600" o:spt="202" path="m,l,21600r21600,l21600,xe">
              <v:stroke joinstyle="miter"/>
              <v:path gradientshapeok="t" o:connecttype="rect"/>
            </v:shapetype>
            <v:shape id="MSIPCMd7be493cb0c658f2ed7136d1" o:spid="_x0000_s1026" type="#_x0000_t202" alt="{&quot;HashCode&quot;:87794999,&quot;Height&quot;:792.0,&quot;Width&quot;:612.0,&quot;Placement&quot;:&quot;Footer&quot;,&quot;Index&quot;:&quot;Primary&quot;,&quot;Section&quot;:1,&quot;Top&quot;:0.0,&quot;Left&quot;:0.0}" style="position:absolute;left:0;text-align:left;margin-left:0;margin-top:733.95pt;width:612pt;height:43.05pt;z-index:25167308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" o:allowincell="f" filled="f" stroked="f" strokeweight=".5pt">
              <v:textbox inset=",0,,0">
                <w:txbxContent>
                  <w:p w14:paraId="4E498C0F" w14:textId="6569339C" w:rsidR="004245F6" w:rsidRPr="005211E0" w:rsidRDefault="005211E0" w:rsidP="005211E0">
                    <w:pPr>
                      <w:spacing w:after="0"/>
                      <w:jc w:val="center"/>
                      <w:rPr>
                        <w:rFonts w:ascii="Calibri" w:hAnsi="Calibri" w:cs="Calibri"/>
                        <w:color w:val="000000"/>
                        <w:sz w:val="12"/>
                      </w:rPr>
                    </w:pPr>
                    <w:r w:rsidRPr="005211E0">
                      <w:rPr>
                        <w:rFonts w:ascii="Calibri" w:hAnsi="Calibri" w:cs="Calibri"/>
                        <w:color w:val="000000"/>
                        <w:sz w:val="12"/>
                      </w:rPr>
                      <w:t>© 2023 by The Hartford. Classification: Company Confidential. No part of this document may be reproduced, published, or used without the permission of The Hartford.</w:t>
                    </w:r>
                  </w:p>
                </w:txbxContent>
              </v:textbox>
              <w10:wrap anchorx="page" anchory="page"/>
            </v:shape>
          </w:pict>
        </mc:Fallback>
      </mc:AlternateContent>
    </w:r>
    <w:r w:rsidR="003C5620">
      <w:rPr>
        <w:noProof/>
      </w:rPr>
      <mc:AlternateContent>
        <mc:Choice Requires="wps">
          <w:drawing>
            <wp:anchor distT="0" distB="0" distL="114300" distR="114300" simplePos="0" relativeHeight="251666432" behindDoc="0" locked="0" layoutInCell="1" allowOverlap="1" wp14:anchorId="06B79D95" wp14:editId="4D25171F">
              <wp:simplePos x="0" y="0"/>
              <wp:positionH relativeFrom="column">
                <wp:posOffset>-914400</wp:posOffset>
              </wp:positionH>
              <wp:positionV relativeFrom="paragraph">
                <wp:posOffset>-223679</wp:posOffset>
              </wp:positionV>
              <wp:extent cx="7772400" cy="546894"/>
              <wp:effectExtent l="0" t="0" r="19050" b="24765"/>
              <wp:wrapNone/>
              <wp:docPr id="2" name="Text Box 2"/>
              <wp:cNvGraphicFramePr/>
              <a:graphic xmlns:a="http://schemas.openxmlformats.org/drawingml/2006/main">
                <a:graphicData uri="http://schemas.microsoft.com/office/word/2010/wordprocessingShape">
                  <wps:wsp>
                    <wps:cNvSpPr txBox="1"/>
                    <wps:spPr>
                      <a:xfrm>
                        <a:off x="0" y="0"/>
                        <a:ext cx="7772400" cy="546894"/>
                      </a:xfrm>
                      <a:prstGeom prst="rect">
                        <a:avLst/>
                      </a:prstGeom>
                      <a:noFill/>
                      <a:ln w="6350">
                        <a:solidFill>
                          <a:prstClr val="black"/>
                        </a:solidFill>
                      </a:ln>
                    </wps:spPr>
                    <wps:txbx>
                      <w:txbxContent>
                        <w:p w14:paraId="63F4FA1B" w14:textId="77777777" w:rsidR="003C5620" w:rsidRDefault="003C56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B79D95" id="Text Box 2" o:spid="_x0000_s1027" type="#_x0000_t202" style="position:absolute;left:0;text-align:left;margin-left:-1in;margin-top:-17.6pt;width:612pt;height:43.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" filled="f" strokeweight=".5pt">
              <v:textbox>
                <w:txbxContent>
                  <w:p w14:paraId="63F4FA1B" w14:textId="77777777" w:rsidR="003C5620" w:rsidRDefault="003C5620"/>
                </w:txbxContent>
              </v:textbox>
            </v:shape>
          </w:pict>
        </mc:Fallback>
      </mc:AlternateContent>
    </w:r>
    <w:r w:rsidR="003C5620">
      <w:rPr>
        <w:noProof/>
      </w:rPr>
      <mc:AlternateContent>
        <mc:Choice Requires="wps">
          <w:drawing>
            <wp:anchor distT="0" distB="0" distL="114300" distR="114300" simplePos="0" relativeHeight="251665408" behindDoc="0" locked="0" layoutInCell="1" allowOverlap="1" wp14:anchorId="22F4F0BB" wp14:editId="29C40210">
              <wp:simplePos x="0" y="0"/>
              <wp:positionH relativeFrom="column">
                <wp:posOffset>-914400</wp:posOffset>
              </wp:positionH>
              <wp:positionV relativeFrom="paragraph">
                <wp:posOffset>-223679</wp:posOffset>
              </wp:positionV>
              <wp:extent cx="7772400" cy="546894"/>
              <wp:effectExtent l="0" t="0" r="19050" b="24765"/>
              <wp:wrapNone/>
              <wp:docPr id="1" name="Text Box 1"/>
              <wp:cNvGraphicFramePr/>
              <a:graphic xmlns:a="http://schemas.openxmlformats.org/drawingml/2006/main">
                <a:graphicData uri="http://schemas.microsoft.com/office/word/2010/wordprocessingShape">
                  <wps:wsp>
                    <wps:cNvSpPr txBox="1"/>
                    <wps:spPr>
                      <a:xfrm>
                        <a:off x="0" y="0"/>
                        <a:ext cx="7772400" cy="546894"/>
                      </a:xfrm>
                      <a:prstGeom prst="rect">
                        <a:avLst/>
                      </a:prstGeom>
                      <a:noFill/>
                      <a:ln w="6350">
                        <a:solidFill>
                          <a:prstClr val="black"/>
                        </a:solidFill>
                      </a:ln>
                    </wps:spPr>
                    <wps:txbx>
                      <w:txbxContent>
                        <w:p w14:paraId="54757BD5" w14:textId="77777777" w:rsidR="003C5620" w:rsidRDefault="003C56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2F4F0BB" id="Text Box 1" o:spid="_x0000_s1028" type="#_x0000_t202" style="position:absolute;left:0;text-align:left;margin-left:-1in;margin-top:-17.6pt;width:612pt;height:43.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" filled="f" strokeweight=".5pt">
              <v:textbox>
                <w:txbxContent>
                  <w:p w14:paraId="54757BD5" w14:textId="77777777" w:rsidR="003C5620" w:rsidRDefault="003C5620"/>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D1B86" w14:textId="77777777" w:rsidR="00FE3EF2" w:rsidRPr="003C5620" w:rsidRDefault="004245F6" w:rsidP="003C5620">
    <w:pPr>
      <w:pStyle w:val="Footer"/>
      <w:jc w:val="center"/>
    </w:pPr>
    <w:r>
      <w:rPr>
        <w:noProof/>
      </w:rPr>
      <mc:AlternateContent>
        <mc:Choice Requires="wps">
          <w:drawing>
            <wp:anchor distT="0" distB="0" distL="114300" distR="114300" simplePos="0" relativeHeight="251673343" behindDoc="0" locked="0" layoutInCell="0" allowOverlap="1" wp14:anchorId="40EE236E" wp14:editId="742363E8">
              <wp:simplePos x="0" y="0"/>
              <wp:positionH relativeFrom="page">
                <wp:posOffset>0</wp:posOffset>
              </wp:positionH>
              <wp:positionV relativeFrom="page">
                <wp:posOffset>9321165</wp:posOffset>
              </wp:positionV>
              <wp:extent cx="7772400" cy="546735"/>
              <wp:effectExtent l="0" t="0" r="0" b="5715"/>
              <wp:wrapNone/>
              <wp:docPr id="4" name="MSIPCMbe5947a3a4bcc154fb8f54f5" descr="{&quot;HashCode&quot;:87794999,&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4673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9A8EE4" w14:textId="38250211" w:rsidR="004245F6" w:rsidRPr="005211E0" w:rsidRDefault="005211E0" w:rsidP="005211E0">
                          <w:pPr>
                            <w:spacing w:after="0"/>
                            <w:jc w:val="center"/>
                            <w:rPr>
                              <w:rFonts w:ascii="Calibri" w:hAnsi="Calibri" w:cs="Calibri"/>
                              <w:color w:val="000000"/>
                              <w:sz w:val="12"/>
                            </w:rPr>
                          </w:pPr>
                          <w:r w:rsidRPr="005211E0">
                            <w:rPr>
                              <w:rFonts w:ascii="Calibri" w:hAnsi="Calibri" w:cs="Calibri"/>
                              <w:color w:val="000000"/>
                              <w:sz w:val="12"/>
                            </w:rPr>
                            <w:t>© 2023 by The Hartford. Classification: Company Confidential. No part of this document may be reproduced, published, or used without the permission of The Hartford.</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0EE236E" id="_x0000_t202" coordsize="21600,21600" o:spt="202" path="m,l,21600r21600,l21600,xe">
              <v:stroke joinstyle="miter"/>
              <v:path gradientshapeok="t" o:connecttype="rect"/>
            </v:shapetype>
            <v:shape id="MSIPCMbe5947a3a4bcc154fb8f54f5" o:spid="_x0000_s1029" type="#_x0000_t202" alt="{&quot;HashCode&quot;:87794999,&quot;Height&quot;:792.0,&quot;Width&quot;:612.0,&quot;Placement&quot;:&quot;Footer&quot;,&quot;Index&quot;:&quot;FirstPage&quot;,&quot;Section&quot;:1,&quot;Top&quot;:0.0,&quot;Left&quot;:0.0}" style="position:absolute;left:0;text-align:left;margin-left:0;margin-top:733.95pt;width:612pt;height:43.05pt;z-index:2516733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" o:allowincell="f" filled="f" stroked="f" strokeweight=".5pt">
              <v:textbox inset=",0,,0">
                <w:txbxContent>
                  <w:p w14:paraId="719A8EE4" w14:textId="38250211" w:rsidR="004245F6" w:rsidRPr="005211E0" w:rsidRDefault="005211E0" w:rsidP="005211E0">
                    <w:pPr>
                      <w:spacing w:after="0"/>
                      <w:jc w:val="center"/>
                      <w:rPr>
                        <w:rFonts w:ascii="Calibri" w:hAnsi="Calibri" w:cs="Calibri"/>
                        <w:color w:val="000000"/>
                        <w:sz w:val="12"/>
                      </w:rPr>
                    </w:pPr>
                    <w:r w:rsidRPr="005211E0">
                      <w:rPr>
                        <w:rFonts w:ascii="Calibri" w:hAnsi="Calibri" w:cs="Calibri"/>
                        <w:color w:val="000000"/>
                        <w:sz w:val="12"/>
                      </w:rPr>
                      <w:t>© 2023 by The Hartford. Classification: Company Confidential. No part of this document may be reproduced, published, or used without the permission of The Hartford.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6A54F" w14:textId="77777777" w:rsidR="002741AE" w:rsidRDefault="002741A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3EA12" w14:textId="77777777" w:rsidR="002741AE" w:rsidRDefault="0085202B">
    <w:pPr>
      <w:pStyle w:val="Footer"/>
    </w:pPr>
    <w:r>
      <w:rPr>
        <w:noProof/>
      </w:rPr>
      <mc:AlternateContent>
        <mc:Choice Requires="wps">
          <w:drawing>
            <wp:anchor distT="0" distB="0" distL="114300" distR="114300" simplePos="1" relativeHeight="251675648" behindDoc="0" locked="0" layoutInCell="0" allowOverlap="1" wp14:anchorId="38AEF5B9" wp14:editId="64F02410">
              <wp:simplePos x="0" y="9321006"/>
              <wp:positionH relativeFrom="page">
                <wp:posOffset>0</wp:posOffset>
              </wp:positionH>
              <wp:positionV relativeFrom="page">
                <wp:posOffset>9321165</wp:posOffset>
              </wp:positionV>
              <wp:extent cx="7772400" cy="546735"/>
              <wp:effectExtent l="0" t="0" r="0" b="5715"/>
              <wp:wrapNone/>
              <wp:docPr id="8" name="MSIPCM8a5449caa13a109f55708b09" descr="{&quot;HashCode&quot;:87794999,&quot;Height&quot;:792.0,&quot;Width&quot;:612.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54673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523235" w14:textId="4AAE851F" w:rsidR="0085202B" w:rsidRPr="005211E0" w:rsidRDefault="005211E0" w:rsidP="005211E0">
                          <w:pPr>
                            <w:spacing w:after="0"/>
                            <w:jc w:val="center"/>
                            <w:rPr>
                              <w:rFonts w:ascii="Calibri" w:hAnsi="Calibri" w:cs="Calibri"/>
                              <w:color w:val="000000"/>
                              <w:sz w:val="12"/>
                            </w:rPr>
                          </w:pPr>
                          <w:r w:rsidRPr="005211E0">
                            <w:rPr>
                              <w:rFonts w:ascii="Calibri" w:hAnsi="Calibri" w:cs="Calibri"/>
                              <w:color w:val="000000"/>
                              <w:sz w:val="12"/>
                            </w:rPr>
                            <w:t>© 2023 by The Hartford. Classification: Company Confidential. No part of this document may be reproduced, published, or used without the permission of The Hartford.</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AEF5B9" id="_x0000_t202" coordsize="21600,21600" o:spt="202" path="m,l,21600r21600,l21600,xe">
              <v:stroke joinstyle="miter"/>
              <v:path gradientshapeok="t" o:connecttype="rect"/>
            </v:shapetype>
            <v:shape id="MSIPCM8a5449caa13a109f55708b09" o:spid="_x0000_s1030" type="#_x0000_t202" alt="{&quot;HashCode&quot;:87794999,&quot;Height&quot;:792.0,&quot;Width&quot;:612.0,&quot;Placement&quot;:&quot;Footer&quot;,&quot;Index&quot;:&quot;Primary&quot;,&quot;Section&quot;:2,&quot;Top&quot;:0.0,&quot;Left&quot;:0.0}" style="position:absolute;margin-left:0;margin-top:733.95pt;width:612pt;height:43.05pt;z-index:2516756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" o:allowincell="f" filled="f" stroked="f" strokeweight=".5pt">
              <v:textbox inset=",0,,0">
                <w:txbxContent>
                  <w:p w14:paraId="39523235" w14:textId="4AAE851F" w:rsidR="0085202B" w:rsidRPr="005211E0" w:rsidRDefault="005211E0" w:rsidP="005211E0">
                    <w:pPr>
                      <w:spacing w:after="0"/>
                      <w:jc w:val="center"/>
                      <w:rPr>
                        <w:rFonts w:ascii="Calibri" w:hAnsi="Calibri" w:cs="Calibri"/>
                        <w:color w:val="000000"/>
                        <w:sz w:val="12"/>
                      </w:rPr>
                    </w:pPr>
                    <w:r w:rsidRPr="005211E0">
                      <w:rPr>
                        <w:rFonts w:ascii="Calibri" w:hAnsi="Calibri" w:cs="Calibri"/>
                        <w:color w:val="000000"/>
                        <w:sz w:val="12"/>
                      </w:rPr>
                      <w:t>© 2023 by The Hartford. Classification: Company Confidential. No part of this document may be reproduced, published, or used without the permission of The Hartford.</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52053" w14:textId="77777777" w:rsidR="002741AE" w:rsidRDefault="0085202B">
    <w:pPr>
      <w:pStyle w:val="Footer"/>
    </w:pPr>
    <w:r>
      <w:rPr>
        <w:noProof/>
      </w:rPr>
      <mc:AlternateContent>
        <mc:Choice Requires="wps">
          <w:drawing>
            <wp:anchor distT="0" distB="0" distL="114300" distR="114300" simplePos="0" relativeHeight="251676672" behindDoc="0" locked="0" layoutInCell="0" allowOverlap="1" wp14:anchorId="721A6D5A" wp14:editId="33452ADC">
              <wp:simplePos x="0" y="0"/>
              <wp:positionH relativeFrom="page">
                <wp:posOffset>0</wp:posOffset>
              </wp:positionH>
              <wp:positionV relativeFrom="page">
                <wp:posOffset>9321165</wp:posOffset>
              </wp:positionV>
              <wp:extent cx="7772400" cy="546735"/>
              <wp:effectExtent l="0" t="0" r="0" b="5715"/>
              <wp:wrapNone/>
              <wp:docPr id="9" name="MSIPCM9009488ba5975d96cae4a70e" descr="{&quot;HashCode&quot;:87794999,&quot;Height&quot;:792.0,&quot;Width&quot;:612.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772400" cy="54673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BD90B2" w14:textId="745CB7C9" w:rsidR="0085202B" w:rsidRPr="005211E0" w:rsidRDefault="005211E0" w:rsidP="005211E0">
                          <w:pPr>
                            <w:spacing w:after="0"/>
                            <w:jc w:val="center"/>
                            <w:rPr>
                              <w:rFonts w:ascii="Calibri" w:hAnsi="Calibri" w:cs="Calibri"/>
                              <w:color w:val="000000"/>
                              <w:sz w:val="12"/>
                            </w:rPr>
                          </w:pPr>
                          <w:r w:rsidRPr="005211E0">
                            <w:rPr>
                              <w:rFonts w:ascii="Calibri" w:hAnsi="Calibri" w:cs="Calibri"/>
                              <w:color w:val="000000"/>
                              <w:sz w:val="12"/>
                            </w:rPr>
                            <w:t>© 2023 by The Hartford. Classification: Company Confidential. No part of this document may be reproduced, published, or used without the permission of The Hartford.</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1A6D5A" id="_x0000_t202" coordsize="21600,21600" o:spt="202" path="m,l,21600r21600,l21600,xe">
              <v:stroke joinstyle="miter"/>
              <v:path gradientshapeok="t" o:connecttype="rect"/>
            </v:shapetype>
            <v:shape id="MSIPCM9009488ba5975d96cae4a70e" o:spid="_x0000_s1031" type="#_x0000_t202" alt="{&quot;HashCode&quot;:87794999,&quot;Height&quot;:792.0,&quot;Width&quot;:612.0,&quot;Placement&quot;:&quot;Footer&quot;,&quot;Index&quot;:&quot;FirstPage&quot;,&quot;Section&quot;:2,&quot;Top&quot;:0.0,&quot;Left&quot;:0.0}" style="position:absolute;margin-left:0;margin-top:733.95pt;width:612pt;height:43.05pt;z-index:25167667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" o:allowincell="f" filled="f" stroked="f" strokeweight=".5pt">
              <v:textbox inset=",0,,0">
                <w:txbxContent>
                  <w:p w14:paraId="05BD90B2" w14:textId="745CB7C9" w:rsidR="0085202B" w:rsidRPr="005211E0" w:rsidRDefault="005211E0" w:rsidP="005211E0">
                    <w:pPr>
                      <w:spacing w:after="0"/>
                      <w:jc w:val="center"/>
                      <w:rPr>
                        <w:rFonts w:ascii="Calibri" w:hAnsi="Calibri" w:cs="Calibri"/>
                        <w:color w:val="000000"/>
                        <w:sz w:val="12"/>
                      </w:rPr>
                    </w:pPr>
                    <w:r w:rsidRPr="005211E0">
                      <w:rPr>
                        <w:rFonts w:ascii="Calibri" w:hAnsi="Calibri" w:cs="Calibri"/>
                        <w:color w:val="000000"/>
                        <w:sz w:val="12"/>
                      </w:rPr>
                      <w:t>© 2023 by The Hartford. Classification: Company Confidential. No part of this document may be reproduced, published, or used without the permission of The Hartford.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31E31" w14:textId="77777777" w:rsidR="00EA6F5B" w:rsidRDefault="00EA6F5B" w:rsidP="00A91F5E">
      <w:pPr>
        <w:spacing w:after="0" w:line="240" w:lineRule="auto"/>
      </w:pPr>
      <w:r>
        <w:separator/>
      </w:r>
    </w:p>
  </w:footnote>
  <w:footnote w:type="continuationSeparator" w:id="0">
    <w:p w14:paraId="4678D80C" w14:textId="77777777" w:rsidR="00EA6F5B" w:rsidRDefault="00EA6F5B" w:rsidP="00A91F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3264A" w14:textId="77777777" w:rsidR="002B3D66" w:rsidRDefault="002B3D66" w:rsidP="00BD4FC7">
    <w:pPr>
      <w:pStyle w:val="Header"/>
      <w:ind w:left="-1440"/>
    </w:pPr>
  </w:p>
  <w:p w14:paraId="1430DF05" w14:textId="77777777" w:rsidR="002B3D66" w:rsidRDefault="002B3D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87AF4" w14:textId="77777777" w:rsidR="004E1B29" w:rsidRDefault="004E1B29">
    <w:pPr>
      <w:pStyle w:val="Header"/>
    </w:pPr>
    <w:r>
      <w:rPr>
        <w:noProof/>
      </w:rPr>
      <mc:AlternateContent>
        <mc:Choice Requires="wps">
          <w:drawing>
            <wp:anchor distT="0" distB="0" distL="114300" distR="114300" simplePos="0" relativeHeight="251664384" behindDoc="0" locked="0" layoutInCell="1" allowOverlap="1" wp14:anchorId="5F8FE844" wp14:editId="2ECE6B58">
              <wp:simplePos x="0" y="0"/>
              <wp:positionH relativeFrom="column">
                <wp:posOffset>-84455</wp:posOffset>
              </wp:positionH>
              <wp:positionV relativeFrom="paragraph">
                <wp:posOffset>1970405</wp:posOffset>
              </wp:positionV>
              <wp:extent cx="0" cy="783590"/>
              <wp:effectExtent l="25400" t="0" r="50800" b="54610"/>
              <wp:wrapNone/>
              <wp:docPr id="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783590"/>
                      </a:xfrm>
                      <a:prstGeom prst="line">
                        <a:avLst/>
                      </a:prstGeom>
                      <a:noFill/>
                      <a:ln w="76200" cap="flat" cmpd="sng">
                        <a:solidFill>
                          <a:srgbClr val="B6D3E9"/>
                        </a:solidFill>
                        <a:prstDash val="solid"/>
                        <a:round/>
                        <a:headEnd/>
                        <a:tailEnd/>
                      </a:ln>
                      <a:effectLst>
                        <a:outerShdw dist="20000" dir="5400000" rotWithShape="0">
                          <a:schemeClr val="bg1">
                            <a:lumMod val="100000"/>
                            <a:lumOff val="0"/>
                            <a:alpha val="37999"/>
                          </a:schemeClr>
                        </a:outerShdw>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E39B45" id="Straight Connector 2" o:spid="_x0000_s1026" style="position:absolute;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5pt,155.15pt" to="-6.65pt,2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" strokecolor="#b6d3e9" strokeweight="6pt">
              <v:shadow on="t" color="white [3212]" opacity="24903f" origin=",.5" offset="0,.55556mm"/>
            </v:line>
          </w:pict>
        </mc:Fallback>
      </mc:AlternateContent>
    </w:r>
    <w:r>
      <w:rPr>
        <w:noProof/>
      </w:rPr>
      <w:drawing>
        <wp:anchor distT="0" distB="0" distL="114300" distR="114300" simplePos="0" relativeHeight="251662336" behindDoc="1" locked="0" layoutInCell="1" allowOverlap="1" wp14:anchorId="3FF8E55D" wp14:editId="4A83E4D2">
          <wp:simplePos x="0" y="0"/>
          <wp:positionH relativeFrom="page">
            <wp:posOffset>10160</wp:posOffset>
          </wp:positionH>
          <wp:positionV relativeFrom="page">
            <wp:posOffset>30480</wp:posOffset>
          </wp:positionV>
          <wp:extent cx="7767320" cy="2095500"/>
          <wp:effectExtent l="0" t="0" r="5080" b="12700"/>
          <wp:wrapNone/>
          <wp:docPr id="13" name="Picture 13" descr="Macintosh HD:Users:davidtow:Creative Cloud Files:Transfer:18-0061_BD_Word_Template_Feb2018-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avidtow:Creative Cloud Files:Transfer:18-0061_BD_Word_Template_Feb2018-image.png"/>
                  <pic:cNvPicPr>
                    <a:picLocks noChangeAspect="1" noChangeArrowheads="1"/>
                  </pic:cNvPicPr>
                </pic:nvPicPr>
                <pic:blipFill rotWithShape="1">
                  <a:blip r:embed="rId1">
                    <a:extLst>
                      <a:ext uri="{28A0092B-C50C-407E-A947-70E740481C1C}">
                        <a14:useLocalDpi xmlns:a14="http://schemas.microsoft.com/office/drawing/2010/main" val="0"/>
                      </a:ext>
                    </a:extLst>
                  </a:blip>
                  <a:srcRect b="79165"/>
                  <a:stretch/>
                </pic:blipFill>
                <pic:spPr bwMode="auto">
                  <a:xfrm>
                    <a:off x="0" y="0"/>
                    <a:ext cx="7767320" cy="209550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6D0BB" w14:textId="77777777" w:rsidR="002741AE" w:rsidRDefault="002741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51F66" w14:textId="77777777" w:rsidR="002741AE" w:rsidRDefault="002741A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C8C53" w14:textId="77777777" w:rsidR="00300369" w:rsidRDefault="003003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F5E43"/>
    <w:multiLevelType w:val="hybridMultilevel"/>
    <w:tmpl w:val="0540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8A495A"/>
    <w:multiLevelType w:val="hybridMultilevel"/>
    <w:tmpl w:val="9688870C"/>
    <w:lvl w:ilvl="0" w:tplc="4B405F6C">
      <w:start w:val="1"/>
      <w:numFmt w:val="bullet"/>
      <w:lvlText w:val="•"/>
      <w:lvlJc w:val="left"/>
      <w:pPr>
        <w:tabs>
          <w:tab w:val="num" w:pos="720"/>
        </w:tabs>
        <w:ind w:left="720" w:hanging="360"/>
      </w:pPr>
      <w:rPr>
        <w:rFonts w:ascii="Arial" w:hAnsi="Arial" w:hint="default"/>
      </w:rPr>
    </w:lvl>
    <w:lvl w:ilvl="1" w:tplc="461862D4">
      <w:start w:val="512"/>
      <w:numFmt w:val="bullet"/>
      <w:lvlText w:val="—"/>
      <w:lvlJc w:val="left"/>
      <w:pPr>
        <w:tabs>
          <w:tab w:val="num" w:pos="1440"/>
        </w:tabs>
        <w:ind w:left="1440" w:hanging="360"/>
      </w:pPr>
      <w:rPr>
        <w:rFonts w:ascii="Arial" w:hAnsi="Arial" w:hint="default"/>
      </w:rPr>
    </w:lvl>
    <w:lvl w:ilvl="2" w:tplc="F22AF5A0" w:tentative="1">
      <w:start w:val="1"/>
      <w:numFmt w:val="bullet"/>
      <w:lvlText w:val="•"/>
      <w:lvlJc w:val="left"/>
      <w:pPr>
        <w:tabs>
          <w:tab w:val="num" w:pos="2160"/>
        </w:tabs>
        <w:ind w:left="2160" w:hanging="360"/>
      </w:pPr>
      <w:rPr>
        <w:rFonts w:ascii="Arial" w:hAnsi="Arial" w:hint="default"/>
      </w:rPr>
    </w:lvl>
    <w:lvl w:ilvl="3" w:tplc="B9429330" w:tentative="1">
      <w:start w:val="1"/>
      <w:numFmt w:val="bullet"/>
      <w:lvlText w:val="•"/>
      <w:lvlJc w:val="left"/>
      <w:pPr>
        <w:tabs>
          <w:tab w:val="num" w:pos="2880"/>
        </w:tabs>
        <w:ind w:left="2880" w:hanging="360"/>
      </w:pPr>
      <w:rPr>
        <w:rFonts w:ascii="Arial" w:hAnsi="Arial" w:hint="default"/>
      </w:rPr>
    </w:lvl>
    <w:lvl w:ilvl="4" w:tplc="457C129C" w:tentative="1">
      <w:start w:val="1"/>
      <w:numFmt w:val="bullet"/>
      <w:lvlText w:val="•"/>
      <w:lvlJc w:val="left"/>
      <w:pPr>
        <w:tabs>
          <w:tab w:val="num" w:pos="3600"/>
        </w:tabs>
        <w:ind w:left="3600" w:hanging="360"/>
      </w:pPr>
      <w:rPr>
        <w:rFonts w:ascii="Arial" w:hAnsi="Arial" w:hint="default"/>
      </w:rPr>
    </w:lvl>
    <w:lvl w:ilvl="5" w:tplc="5914E51A" w:tentative="1">
      <w:start w:val="1"/>
      <w:numFmt w:val="bullet"/>
      <w:lvlText w:val="•"/>
      <w:lvlJc w:val="left"/>
      <w:pPr>
        <w:tabs>
          <w:tab w:val="num" w:pos="4320"/>
        </w:tabs>
        <w:ind w:left="4320" w:hanging="360"/>
      </w:pPr>
      <w:rPr>
        <w:rFonts w:ascii="Arial" w:hAnsi="Arial" w:hint="default"/>
      </w:rPr>
    </w:lvl>
    <w:lvl w:ilvl="6" w:tplc="CED68ECA" w:tentative="1">
      <w:start w:val="1"/>
      <w:numFmt w:val="bullet"/>
      <w:lvlText w:val="•"/>
      <w:lvlJc w:val="left"/>
      <w:pPr>
        <w:tabs>
          <w:tab w:val="num" w:pos="5040"/>
        </w:tabs>
        <w:ind w:left="5040" w:hanging="360"/>
      </w:pPr>
      <w:rPr>
        <w:rFonts w:ascii="Arial" w:hAnsi="Arial" w:hint="default"/>
      </w:rPr>
    </w:lvl>
    <w:lvl w:ilvl="7" w:tplc="4CCCA2AC" w:tentative="1">
      <w:start w:val="1"/>
      <w:numFmt w:val="bullet"/>
      <w:lvlText w:val="•"/>
      <w:lvlJc w:val="left"/>
      <w:pPr>
        <w:tabs>
          <w:tab w:val="num" w:pos="5760"/>
        </w:tabs>
        <w:ind w:left="5760" w:hanging="360"/>
      </w:pPr>
      <w:rPr>
        <w:rFonts w:ascii="Arial" w:hAnsi="Arial" w:hint="default"/>
      </w:rPr>
    </w:lvl>
    <w:lvl w:ilvl="8" w:tplc="3C54E4A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6A053B1"/>
    <w:multiLevelType w:val="hybridMultilevel"/>
    <w:tmpl w:val="4B508C7E"/>
    <w:lvl w:ilvl="0" w:tplc="AD460712">
      <w:start w:val="1"/>
      <w:numFmt w:val="upperRoman"/>
      <w:lvlText w:val="%1."/>
      <w:lvlJc w:val="left"/>
      <w:pPr>
        <w:ind w:left="990" w:hanging="720"/>
      </w:pPr>
      <w:rPr>
        <w:rFonts w:hint="default"/>
        <w:b/>
        <w:i/>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 w15:restartNumberingAfterBreak="0">
    <w:nsid w:val="61E96D57"/>
    <w:multiLevelType w:val="hybridMultilevel"/>
    <w:tmpl w:val="AB463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121B70"/>
    <w:multiLevelType w:val="hybridMultilevel"/>
    <w:tmpl w:val="B5340DC4"/>
    <w:lvl w:ilvl="0" w:tplc="B2980AB2">
      <w:start w:val="1"/>
      <w:numFmt w:val="decimal"/>
      <w:lvlText w:val="%1."/>
      <w:lvlJc w:val="left"/>
      <w:pPr>
        <w:ind w:left="360" w:hanging="360"/>
      </w:pPr>
      <w:rPr>
        <w:rFonts w:eastAsiaTheme="minorEastAsia" w:hint="default"/>
        <w:b/>
        <w:color w:val="1F497D" w:themeColor="text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2156F36"/>
    <w:multiLevelType w:val="hybridMultilevel"/>
    <w:tmpl w:val="3B661DDE"/>
    <w:lvl w:ilvl="0" w:tplc="7E7CBCB6">
      <w:start w:val="1"/>
      <w:numFmt w:val="lowerRoman"/>
      <w:lvlText w:val="(%1)"/>
      <w:lvlJc w:val="left"/>
      <w:pPr>
        <w:ind w:left="1020" w:hanging="7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1E0"/>
    <w:rsid w:val="00003504"/>
    <w:rsid w:val="000226EB"/>
    <w:rsid w:val="00046D26"/>
    <w:rsid w:val="000614D7"/>
    <w:rsid w:val="0006464F"/>
    <w:rsid w:val="00080624"/>
    <w:rsid w:val="00083B31"/>
    <w:rsid w:val="000C3AC0"/>
    <w:rsid w:val="00141CAF"/>
    <w:rsid w:val="00195928"/>
    <w:rsid w:val="001C3943"/>
    <w:rsid w:val="001D7A3B"/>
    <w:rsid w:val="001E04FC"/>
    <w:rsid w:val="0020266A"/>
    <w:rsid w:val="00213938"/>
    <w:rsid w:val="002741AE"/>
    <w:rsid w:val="002A4C41"/>
    <w:rsid w:val="002B3D66"/>
    <w:rsid w:val="00300369"/>
    <w:rsid w:val="00327F5C"/>
    <w:rsid w:val="0039120A"/>
    <w:rsid w:val="003C5620"/>
    <w:rsid w:val="004245F6"/>
    <w:rsid w:val="00460474"/>
    <w:rsid w:val="004B2FAA"/>
    <w:rsid w:val="004C74DE"/>
    <w:rsid w:val="004C77B9"/>
    <w:rsid w:val="004E1B29"/>
    <w:rsid w:val="005211E0"/>
    <w:rsid w:val="005457BA"/>
    <w:rsid w:val="00663B9C"/>
    <w:rsid w:val="00673E82"/>
    <w:rsid w:val="006D740D"/>
    <w:rsid w:val="0076756D"/>
    <w:rsid w:val="0078323F"/>
    <w:rsid w:val="007B06F6"/>
    <w:rsid w:val="007D24DE"/>
    <w:rsid w:val="008212AD"/>
    <w:rsid w:val="008344CE"/>
    <w:rsid w:val="00846956"/>
    <w:rsid w:val="0085202B"/>
    <w:rsid w:val="00886480"/>
    <w:rsid w:val="00943061"/>
    <w:rsid w:val="009431AB"/>
    <w:rsid w:val="009E7426"/>
    <w:rsid w:val="00A91F5E"/>
    <w:rsid w:val="00A97A8B"/>
    <w:rsid w:val="00AC3BA1"/>
    <w:rsid w:val="00AD5E41"/>
    <w:rsid w:val="00BA086F"/>
    <w:rsid w:val="00BD4FC7"/>
    <w:rsid w:val="00C66CAB"/>
    <w:rsid w:val="00C82EF4"/>
    <w:rsid w:val="00CB5BE6"/>
    <w:rsid w:val="00CC5967"/>
    <w:rsid w:val="00D958D1"/>
    <w:rsid w:val="00E314E8"/>
    <w:rsid w:val="00E315E7"/>
    <w:rsid w:val="00E41029"/>
    <w:rsid w:val="00E51A6A"/>
    <w:rsid w:val="00E6249C"/>
    <w:rsid w:val="00E81BE6"/>
    <w:rsid w:val="00EA6F5B"/>
    <w:rsid w:val="00EA79A7"/>
    <w:rsid w:val="00EB79B2"/>
    <w:rsid w:val="00F95C2E"/>
    <w:rsid w:val="00FE3E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57C510"/>
  <w15:docId w15:val="{B060CFA7-9394-4EF1-BD3E-B2F601CE5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6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1F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1F5E"/>
  </w:style>
  <w:style w:type="paragraph" w:styleId="Footer">
    <w:name w:val="footer"/>
    <w:basedOn w:val="Normal"/>
    <w:link w:val="FooterChar"/>
    <w:uiPriority w:val="99"/>
    <w:unhideWhenUsed/>
    <w:rsid w:val="00A91F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1F5E"/>
  </w:style>
  <w:style w:type="paragraph" w:styleId="BalloonText">
    <w:name w:val="Balloon Text"/>
    <w:basedOn w:val="Normal"/>
    <w:link w:val="BalloonTextChar"/>
    <w:uiPriority w:val="99"/>
    <w:semiHidden/>
    <w:unhideWhenUsed/>
    <w:rsid w:val="00A91F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1F5E"/>
    <w:rPr>
      <w:rFonts w:ascii="Tahoma" w:hAnsi="Tahoma" w:cs="Tahoma"/>
      <w:sz w:val="16"/>
      <w:szCs w:val="16"/>
    </w:rPr>
  </w:style>
  <w:style w:type="paragraph" w:styleId="NormalWeb">
    <w:name w:val="Normal (Web)"/>
    <w:basedOn w:val="Normal"/>
    <w:uiPriority w:val="99"/>
    <w:semiHidden/>
    <w:unhideWhenUsed/>
    <w:rsid w:val="0020266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0266A"/>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741AE"/>
    <w:rPr>
      <w:color w:val="0000FF" w:themeColor="hyperlink"/>
      <w:u w:val="single"/>
    </w:rPr>
  </w:style>
  <w:style w:type="character" w:styleId="UnresolvedMention">
    <w:name w:val="Unresolved Mention"/>
    <w:basedOn w:val="DefaultParagraphFont"/>
    <w:uiPriority w:val="99"/>
    <w:semiHidden/>
    <w:unhideWhenUsed/>
    <w:rsid w:val="002741AE"/>
    <w:rPr>
      <w:color w:val="605E5C"/>
      <w:shd w:val="clear" w:color="auto" w:fill="E1DFDD"/>
    </w:rPr>
  </w:style>
  <w:style w:type="character" w:styleId="FollowedHyperlink">
    <w:name w:val="FollowedHyperlink"/>
    <w:basedOn w:val="DefaultParagraphFont"/>
    <w:uiPriority w:val="99"/>
    <w:semiHidden/>
    <w:unhideWhenUsed/>
    <w:rsid w:val="00C82E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1.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s://s0.hfdstatic.com/sites/the_hartford/files/ca-covid-19-positive-test-1-1-24.docx"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s0.hfdstatic.com/sites/the_hartford/files/ca-covid-19-positive-test-9-16-20.docx" TargetMode="Externa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eader" Target="header3.xml"/><Relationship Id="rId28" Type="http://schemas.openxmlformats.org/officeDocument/2006/relationships/footer" Target="footer6.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3.xml"/><Relationship Id="rId27" Type="http://schemas.openxmlformats.org/officeDocument/2006/relationships/header" Target="header5.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73620\Downloads\Dec%202022%20CA%20WC%20COVID%20Legislation%20Customer%20Adviso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ParentListItemID xmlns="e41776cb-f1e4-4db6-9f53-c61fb189f18a" xsi:nil="true"/>
    <PublishingExpirationDate xmlns="http://schemas.microsoft.com/sharepoint/v3" xsi:nil="true"/>
    <PublishingStartDate xmlns="http://schemas.microsoft.com/sharepoint/v3" xsi:nil="true"/>
    <_dlc_DocId xmlns="9bb93603-0383-4dc3-94c0-d838e010d382">D657ZVAK56N3-157-320</_dlc_DocId>
    <_dlc_DocIdUrl xmlns="9bb93603-0383-4dc3-94c0-d838e010d382">
      <Url>http://iconnect.thehartford.com/WorkTools/Organization/Brand/_layouts/15/DocIdRedir.aspx?ID=D657ZVAK56N3-157-320</Url>
      <Description>D657ZVAK56N3-157-320</Description>
    </_dlc_DocIdUrl>
  </documentManagement>
</p:properties>
</file>

<file path=customXml/item4.xml>
</file>

<file path=customXml/item5.xml><?xml version="1.0" encoding="utf-8"?>
<ct:contentTypeSchema xmlns:ct="http://schemas.microsoft.com/office/2006/metadata/contentType" xmlns:ma="http://schemas.microsoft.com/office/2006/metadata/properties/metaAttributes" ct:_="" ma:_="" ma:contentTypeName="Document" ma:contentTypeID="0x01010067494878D4AC6B42AE961535AE294E1A" ma:contentTypeVersion="3" ma:contentTypeDescription="Create a new document." ma:contentTypeScope="" ma:versionID="3cf48adff6bf995d2412dc17eda949ff">
  <xsd:schema xmlns:xsd="http://www.w3.org/2001/XMLSchema" xmlns:xs="http://www.w3.org/2001/XMLSchema" xmlns:p="http://schemas.microsoft.com/office/2006/metadata/properties" xmlns:ns1="http://schemas.microsoft.com/sharepoint/v3" xmlns:ns2="9bb93603-0383-4dc3-94c0-d838e010d382" xmlns:ns3="e41776cb-f1e4-4db6-9f53-c61fb189f18a" targetNamespace="http://schemas.microsoft.com/office/2006/metadata/properties" ma:root="true" ma:fieldsID="8514c56c8a1f6390237e3354e4e76ccb" ns1:_="" ns2:_="" ns3:_="">
    <xsd:import namespace="http://schemas.microsoft.com/sharepoint/v3"/>
    <xsd:import namespace="9bb93603-0383-4dc3-94c0-d838e010d382"/>
    <xsd:import namespace="e41776cb-f1e4-4db6-9f53-c61fb189f18a"/>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ParentListItem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b93603-0383-4dc3-94c0-d838e010d382"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1776cb-f1e4-4db6-9f53-c61fb189f18a" elementFormDefault="qualified">
    <xsd:import namespace="http://schemas.microsoft.com/office/2006/documentManagement/types"/>
    <xsd:import namespace="http://schemas.microsoft.com/office/infopath/2007/PartnerControls"/>
    <xsd:element name="ParentListItemID" ma:index="13" nillable="true" ma:displayName="ParentListItemID" ma:hidden="true" ma:internalName="ParentListItemID"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
</file>

<file path=customXml/item7.xml><?xml version="1.0" encoding="utf-8"?>
<sisl xmlns:xsd="http://www.w3.org/2001/XMLSchema" xmlns:xsi="http://www.w3.org/2001/XMLSchema-instance" xmlns="http://www.boldonjames.com/2008/01/sie/internal/label" sislVersion="0" policy="246de94c-8867-47b0-926e-310c120d49ea" origin="userSelected">
  <element uid="id_classification_confidential" value=""/>
  <element uid="3b25754d-024a-43c2-8ac8-dabf3de22e95" value=""/>
</sisl>
</file>

<file path=customXml/item8.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</Value>
</WrappedLabelHistory>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FEFE9E-B22A-43E8-B729-409DC5C9DB91}"/>
</file>

<file path=customXml/itemProps2.xml><?xml version="1.0" encoding="utf-8"?>
<ds:datastoreItem xmlns:ds="http://schemas.openxmlformats.org/officeDocument/2006/customXml" ds:itemID="{99B86CC9-3E17-45E4-9243-361C6367E986}">
  <ds:schemaRefs>
    <ds:schemaRef ds:uri="http://schemas.microsoft.com/sharepoint/events"/>
  </ds:schemaRefs>
</ds:datastoreItem>
</file>

<file path=customXml/itemProps3.xml><?xml version="1.0" encoding="utf-8"?>
<ds:datastoreItem xmlns:ds="http://schemas.openxmlformats.org/officeDocument/2006/customXml" ds:itemID="{B4F8F65A-7959-4CC3-9472-0A56BBC6439C}">
  <ds:schemaRefs>
    <ds:schemaRef ds:uri="http://schemas.microsoft.com/office/2006/metadata/properties"/>
    <ds:schemaRef ds:uri="http://schemas.microsoft.com/office/infopath/2007/PartnerControls"/>
    <ds:schemaRef ds:uri="e41776cb-f1e4-4db6-9f53-c61fb189f18a"/>
    <ds:schemaRef ds:uri="http://schemas.microsoft.com/sharepoint/v3"/>
    <ds:schemaRef ds:uri="9bb93603-0383-4dc3-94c0-d838e010d382"/>
  </ds:schemaRefs>
</ds:datastoreItem>
</file>

<file path=customXml/itemProps4.xml><?xml version="1.0" encoding="utf-8"?>
<ds:datastoreItem xmlns:ds="http://schemas.openxmlformats.org/officeDocument/2006/customXml" ds:itemID="{53DA2058-1AE2-4495-BBE1-8645265294C8}"/>
</file>

<file path=customXml/itemProps5.xml><?xml version="1.0" encoding="utf-8"?>
<ds:datastoreItem xmlns:ds="http://schemas.openxmlformats.org/officeDocument/2006/customXml" ds:itemID="{1C7F2509-150E-482E-BDBD-80F4D2373D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bb93603-0383-4dc3-94c0-d838e010d382"/>
    <ds:schemaRef ds:uri="e41776cb-f1e4-4db6-9f53-c61fb189f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2D7C9F2-697C-42FC-A53D-781E8651E511}"/>
</file>

<file path=customXml/itemProps7.xml><?xml version="1.0" encoding="utf-8"?>
<ds:datastoreItem xmlns:ds="http://schemas.openxmlformats.org/officeDocument/2006/customXml" ds:itemID="{68895B9E-5B27-41DF-AFC1-9C0301C2CADE}">
  <ds:schemaRefs>
    <ds:schemaRef ds:uri="http://www.w3.org/2001/XMLSchema"/>
    <ds:schemaRef ds:uri="http://www.boldonjames.com/2008/01/sie/internal/label"/>
  </ds:schemaRefs>
</ds:datastoreItem>
</file>

<file path=customXml/itemProps8.xml><?xml version="1.0" encoding="utf-8"?>
<ds:datastoreItem xmlns:ds="http://schemas.openxmlformats.org/officeDocument/2006/customXml" ds:itemID="{BE78D29F-BEA3-4EDE-8CC8-7F8EF8926A33}">
  <ds:schemaRefs>
    <ds:schemaRef ds:uri="http://www.w3.org/2001/XMLSchema"/>
    <ds:schemaRef ds:uri="http://www.boldonjames.com/2016/02/Classifier/internal/wrappedLabelHistory"/>
  </ds:schemaRefs>
</ds:datastoreItem>
</file>

<file path=customXml/itemProps9.xml><?xml version="1.0" encoding="utf-8"?>
<ds:datastoreItem xmlns:ds="http://schemas.openxmlformats.org/officeDocument/2006/customXml" ds:itemID="{732D6318-55EA-4955-8209-66433EB1FA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Dec 2022 CA WC COVID Legislation Customer Advisory.dotx</Template>
  <TotalTime>3</TotalTime>
  <Pages>14</Pages>
  <Words>4211</Words>
  <Characters>24006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CA COVID-19 Legislation Customer Advisory</vt:lpstr>
    </vt:vector>
  </TitlesOfParts>
  <Company>The Hartford</Company>
  <LinksUpToDate>false</LinksUpToDate>
  <CharactersWithSpaces>28161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COVID-19 Legislation Customer Advisory</dc:title>
  <dc:creator>The Hartford</dc:creator>
  <cp:keywords/>
  <cp:lastModifiedBy>Eacobacci, Mike (Enterprise Marketing)</cp:lastModifiedBy>
  <cp:revision>6</cp:revision>
  <cp:lastPrinted>2021-09-20T15:17:00Z</cp:lastPrinted>
  <dcterms:created xsi:type="dcterms:W3CDTF">2023-01-13T17:58:00Z</dcterms:created>
  <dcterms:modified xsi:type="dcterms:W3CDTF">2023-01-13T19:48:00Z</dcterms:modified>
  <cp:category>Company Confidential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0x01010067494878D4AC6B42AE961535AE294E1A</vt:lpwstr>
  </property>
  <property fmtid="{D5CDD505-2E9C-101B-9397-08002B2CF9AE}" pid="3" name="_dlc_DocIdItemGuid">
    <vt:lpwstr>15e88390-e91e-4679-aae6-a68d9b9786e7</vt:lpwstr>
  </property>
  <property fmtid="{D5CDD505-2E9C-101B-9397-08002B2CF9AE}" pid="4" name="docIndexRef">
    <vt:lpwstr>1abf33e2-440b-4b3c-ae2d-47903c5d6fa8</vt:lpwstr>
  </property>
  <property fmtid="{D5CDD505-2E9C-101B-9397-08002B2CF9AE}" pid="5" name="bjSaver">
    <vt:lpwstr>0qvn3TruBE2E/joSwQQdtWDI28eNd09w</vt:lpwstr>
  </property>
  <property fmtid="{D5CDD505-2E9C-101B-9397-08002B2CF9AE}" pid="6" name="bjDocumentSecurityLabel">
    <vt:lpwstr>Company Confidential</vt:lpwstr>
  </property>
  <property fmtid="{D5CDD505-2E9C-101B-9397-08002B2CF9AE}" pid="7" name="bjLabelHistoryID">
    <vt:lpwstr>{BE78D29F-BEA3-4EDE-8CC8-7F8EF8926A33}</vt:lpwstr>
  </property>
  <property fmtid="{D5CDD505-2E9C-101B-9397-08002B2CF9AE}" pid="8" name="bjDocumentLabelXML">
    <vt:lpwstr>&lt;?xml version="1.0" encoding="us-ascii"?&gt;&lt;sisl xmlns:xsd="http://www.w3.org/2001/XMLSchema" xmlns:xsi="http://www.w3.org/2001/XMLSchema-instance" sislVersion="0" policy="246de94c-8867-47b0-926e-310c120d49ea" origin="userSelected" xmlns="http://www.boldonj</vt:lpwstr>
  </property>
  <property fmtid="{D5CDD505-2E9C-101B-9397-08002B2CF9AE}" pid="9" name="bjDocumentLabelXML-0">
    <vt:lpwstr>ames.com/2008/01/sie/internal/label"&gt;&lt;element uid="id_classification_confidential" value="" /&gt;&lt;element uid="3b25754d-024a-43c2-8ac8-dabf3de22e95" value="" /&gt;&lt;/sisl&gt;</vt:lpwstr>
  </property>
  <property fmtid="{D5CDD505-2E9C-101B-9397-08002B2CF9AE}" pid="10" name="bjClsUserRVM">
    <vt:lpwstr>[]</vt:lpwstr>
  </property>
  <property fmtid="{D5CDD505-2E9C-101B-9397-08002B2CF9AE}" pid="11" name="bjFooterBothDocProperty">
    <vt:lpwstr>© 2021 by The Hartford. Classification: Company Confidential. No part of this document may be reproduced, published or used without the permission of The Hartford.</vt:lpwstr>
  </property>
  <property fmtid="{D5CDD505-2E9C-101B-9397-08002B2CF9AE}" pid="12" name="bjFooterFirstPageDocProperty">
    <vt:lpwstr>© 2021 by The Hartford. Classification: Company Confidential. No part of this document may be reproduced, published or used without the permission of The Hartford.</vt:lpwstr>
  </property>
  <property fmtid="{D5CDD505-2E9C-101B-9397-08002B2CF9AE}" pid="13" name="bjFooterEvenPageDocProperty">
    <vt:lpwstr>© 2021 by The Hartford. Classification: Company Confidential. No part of this document may be reproduced, published or used without the permission of The Hartford.</vt:lpwstr>
  </property>
  <property fmtid="{D5CDD505-2E9C-101B-9397-08002B2CF9AE}" pid="14" name="MSIP_Label_e12ec1e4-f08d-4db9-9ea3-a141370d52a9_Enabled">
    <vt:lpwstr>true</vt:lpwstr>
  </property>
  <property fmtid="{D5CDD505-2E9C-101B-9397-08002B2CF9AE}" pid="15" name="MSIP_Label_e12ec1e4-f08d-4db9-9ea3-a141370d52a9_SetDate">
    <vt:lpwstr>2023-01-13T17:58:22Z</vt:lpwstr>
  </property>
  <property fmtid="{D5CDD505-2E9C-101B-9397-08002B2CF9AE}" pid="16" name="MSIP_Label_e12ec1e4-f08d-4db9-9ea3-a141370d52a9_Method">
    <vt:lpwstr>Privileged</vt:lpwstr>
  </property>
  <property fmtid="{D5CDD505-2E9C-101B-9397-08002B2CF9AE}" pid="17" name="MSIP_Label_e12ec1e4-f08d-4db9-9ea3-a141370d52a9_Name">
    <vt:lpwstr>CC - Show Footer</vt:lpwstr>
  </property>
  <property fmtid="{D5CDD505-2E9C-101B-9397-08002B2CF9AE}" pid="18" name="MSIP_Label_e12ec1e4-f08d-4db9-9ea3-a141370d52a9_SiteId">
    <vt:lpwstr>a311fc62-83f4-45f0-9502-1bb2247d4c8d</vt:lpwstr>
  </property>
  <property fmtid="{D5CDD505-2E9C-101B-9397-08002B2CF9AE}" pid="19" name="MSIP_Label_e12ec1e4-f08d-4db9-9ea3-a141370d52a9_ActionId">
    <vt:lpwstr>5d7928f0-55bf-4fda-ad3e-8eb57f8b9cc1</vt:lpwstr>
  </property>
  <property fmtid="{D5CDD505-2E9C-101B-9397-08002B2CF9AE}" pid="20" name="MSIP_Label_e12ec1e4-f08d-4db9-9ea3-a141370d52a9_ContentBits">
    <vt:lpwstr>2</vt:lpwstr>
  </property>
  <property fmtid="{D5CDD505-2E9C-101B-9397-08002B2CF9AE}" pid="21" name="Keywords">
    <vt:lpwstr>#C0nf1d3nti@l# #Sh0w-F00t3r#</vt:lpwstr>
  </property>
  <property fmtid="{D5CDD505-2E9C-101B-9397-08002B2CF9AE}" pid="22" name="x-dataclassification">
    <vt:lpwstr>#C0nf1d3nti@l#</vt:lpwstr>
  </property>
</Properties>
</file>